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68AF" w:rsidRPr="006D4BF3" w:rsidRDefault="006E68AF" w:rsidP="00952BBE">
      <w:pPr>
        <w:pStyle w:val="affe"/>
        <w:ind w:leftChars="0" w:left="0"/>
        <w:rPr>
          <w:rFonts w:ascii="華康中黑體" w:eastAsia="華康中黑體"/>
        </w:rPr>
      </w:pPr>
      <w:r w:rsidRPr="006D4BF3">
        <w:rPr>
          <w:rFonts w:ascii="華康中黑體" w:eastAsia="華康中黑體" w:hint="eastAsia"/>
        </w:rPr>
        <w:t>質詢</w:t>
      </w:r>
      <w:r w:rsidR="00952BBE" w:rsidRPr="006D4BF3">
        <w:rPr>
          <w:rFonts w:ascii="華康中黑體" w:eastAsia="華康中黑體" w:hint="eastAsia"/>
        </w:rPr>
        <w:t>事項</w:t>
      </w:r>
    </w:p>
    <w:p w:rsidR="006E68AF" w:rsidRPr="00D75CFF" w:rsidRDefault="006E68AF" w:rsidP="006E68AF">
      <w:pPr>
        <w:pStyle w:val="afb"/>
        <w:spacing w:beforeLines="100" w:before="335" w:line="420" w:lineRule="exact"/>
        <w:ind w:leftChars="0" w:left="855" w:hanging="855"/>
      </w:pPr>
      <w:r>
        <w:rPr>
          <w:rFonts w:hint="eastAsia"/>
        </w:rPr>
        <w:t>（一）</w:t>
      </w:r>
      <w:r w:rsidRPr="00D75CFF">
        <w:rPr>
          <w:rFonts w:hint="eastAsia"/>
        </w:rPr>
        <w:t>本院廖委員國棟，為衛生福利部尚未將健保藥品缺藥預警機制納入藥價調整機制中，未將健保藥價調整與新藥加速引進確實檢討改正，也未將醫療費用與藥品費用超過藥費支出目標制（</w:t>
      </w:r>
      <w:r w:rsidRPr="00D75CFF">
        <w:rPr>
          <w:rFonts w:hint="eastAsia"/>
        </w:rPr>
        <w:t>DET</w:t>
      </w:r>
      <w:r w:rsidRPr="00D75CFF">
        <w:rPr>
          <w:rFonts w:hint="eastAsia"/>
        </w:rPr>
        <w:t>）金額之分配比例重新議定之前，即公告第九次健保藥價調整方案，恐有未臻周延之處，爰此，特建議行政院，先請主管機關思考藥品政策全國會議結論，並檢討相關政策及法令，俟修正配套完整後，再進而擬定第九次藥價調整方案，以免前述尚未檢討之重大事宜產生負面衝擊，以及藥品政策全國會議若有相關結論，卻無法於第九次藥價調整開始施行，特向行政院提出緊急質詢。</w:t>
      </w:r>
    </w:p>
    <w:p w:rsidR="006E68AF" w:rsidRPr="002572B9" w:rsidRDefault="006E68AF" w:rsidP="006E68AF">
      <w:pPr>
        <w:pStyle w:val="a4"/>
        <w:spacing w:line="240" w:lineRule="auto"/>
        <w:ind w:left="633" w:hanging="633"/>
      </w:pPr>
    </w:p>
    <w:p w:rsidR="006E68AF" w:rsidRDefault="006E68AF" w:rsidP="006E68AF">
      <w:pPr>
        <w:pStyle w:val="a4"/>
        <w:spacing w:line="380" w:lineRule="exact"/>
        <w:ind w:left="633" w:hanging="633"/>
      </w:pPr>
      <w:r>
        <w:rPr>
          <w:rFonts w:hint="eastAsia"/>
        </w:rPr>
        <w:t>說明：</w:t>
      </w:r>
    </w:p>
    <w:p w:rsidR="006E68AF" w:rsidRDefault="006E68AF" w:rsidP="006E68AF">
      <w:pPr>
        <w:pStyle w:val="afffff0"/>
        <w:spacing w:line="380" w:lineRule="exact"/>
        <w:ind w:left="633" w:hanging="422"/>
      </w:pPr>
      <w:r>
        <w:rPr>
          <w:rFonts w:hint="eastAsia"/>
        </w:rPr>
        <w:t>一、二代健保母法於民國</w:t>
      </w:r>
      <w:r>
        <w:rPr>
          <w:rFonts w:hint="eastAsia"/>
        </w:rPr>
        <w:t>100</w:t>
      </w:r>
      <w:r>
        <w:rPr>
          <w:rFonts w:hint="eastAsia"/>
        </w:rPr>
        <w:t>年修訂完成，在眾所矚目的藥價支付制度中，制訂了藥費支出目標制度。事實上，「支出目標制」乃總額制度一種樣態。依據母法的定義，超過支出目標的藥費，必須於下一年度醫療費用回收，同時調整藥價。而到底要調整多少金額？以及醫療費用與藥價兩者之間個別應承擔多少金額的問題？母法未做具體定義。而超過支出目標的金額如何調整？支出目標制與總額制度又有何不同？此問題參諸馬總統新世紀健康政策白皮書的定義，就是要透過支出目標制，針對超過目標金額的部分，避免斷頭式調整，以免發生給付低於成本的問題！</w:t>
      </w:r>
    </w:p>
    <w:p w:rsidR="006E68AF" w:rsidRDefault="006E68AF" w:rsidP="006E68AF">
      <w:pPr>
        <w:pStyle w:val="afffff0"/>
        <w:spacing w:line="380" w:lineRule="exact"/>
        <w:ind w:left="633" w:hanging="422"/>
      </w:pPr>
      <w:r>
        <w:rPr>
          <w:rFonts w:hint="eastAsia"/>
        </w:rPr>
        <w:t>二、惟查，馬總統白皮書雖應為衛福部政策及法規制訂指引，但自二代健保施行後，馬總統白皮書前述主張卻一直未被衛福部列入支出目標制度加以執行，導致支出目標執行迄今，健保依然不能解決藥價調整後民眾用藥可能出現的給付低於成本的斷藥問題，使得民意一直有不滿的聲音。而醫療院所與藥物供應者，更屢屢反映不敷成本。而且當政府主張民眾有其他藥品可資替代後，常常就是醫療院所改選用有更高價差的藥物替代舊藥，加上藥量管理尚未見大幅成效，導致藥費總額度也沒有下降。因而出現政府努力進行藥價調整，但不論病人、醫界、藥界甚至付費者代表卻對既有藥價調整機制統統有意見的亂象！</w:t>
      </w:r>
    </w:p>
    <w:p w:rsidR="006E68AF" w:rsidRDefault="006E68AF" w:rsidP="006E68AF">
      <w:pPr>
        <w:pStyle w:val="afffff0"/>
        <w:spacing w:line="380" w:lineRule="exact"/>
        <w:ind w:left="633" w:hanging="422"/>
      </w:pPr>
      <w:r>
        <w:rPr>
          <w:rFonts w:hint="eastAsia"/>
        </w:rPr>
        <w:t>三、為解決上述問題，本席認為，第九次藥價調整制度至少應納入以下幾項配套，方為妥適：</w:t>
      </w:r>
    </w:p>
    <w:p w:rsidR="006E68AF" w:rsidRDefault="006E68AF" w:rsidP="006E68AF">
      <w:pPr>
        <w:pStyle w:val="affffd"/>
        <w:spacing w:line="380" w:lineRule="exact"/>
        <w:ind w:leftChars="300" w:left="1055" w:hangingChars="200" w:hanging="422"/>
      </w:pPr>
      <w:r w:rsidRPr="002572B9">
        <w:rPr>
          <w:rFonts w:ascii="華康細明體" w:hint="eastAsia"/>
        </w:rPr>
        <w:t>(</w:t>
      </w:r>
      <w:r>
        <w:rPr>
          <w:rFonts w:hint="eastAsia"/>
        </w:rPr>
        <w:t>一</w:t>
      </w:r>
      <w:r w:rsidRPr="002572B9">
        <w:rPr>
          <w:rFonts w:ascii="華康細明體" w:hint="eastAsia"/>
        </w:rPr>
        <w:t>)</w:t>
      </w:r>
      <w:r>
        <w:rPr>
          <w:rFonts w:hint="eastAsia"/>
        </w:rPr>
        <w:t>藥價調整後，臨床需求藥品因此無法供應的預警處理機制：</w:t>
      </w:r>
    </w:p>
    <w:p w:rsidR="006E68AF" w:rsidRDefault="006E68AF" w:rsidP="006E68AF">
      <w:pPr>
        <w:pStyle w:val="affffd"/>
        <w:spacing w:line="380" w:lineRule="exact"/>
        <w:ind w:leftChars="500" w:left="1266" w:hanging="211"/>
      </w:pPr>
      <w:r>
        <w:t>1</w:t>
      </w:r>
      <w:r w:rsidRPr="002572B9">
        <w:rPr>
          <w:rFonts w:ascii="華康細明體"/>
        </w:rPr>
        <w:t>.</w:t>
      </w:r>
      <w:r>
        <w:rPr>
          <w:rFonts w:hint="eastAsia"/>
        </w:rPr>
        <w:t>健保藥價調查乃透過給付品項實際交易的量價平均價（</w:t>
      </w:r>
      <w:r>
        <w:rPr>
          <w:rFonts w:hint="eastAsia"/>
        </w:rPr>
        <w:t>WAP</w:t>
      </w:r>
      <w:r>
        <w:rPr>
          <w:rFonts w:hint="eastAsia"/>
        </w:rPr>
        <w:t>），再根據</w:t>
      </w:r>
      <w:r>
        <w:rPr>
          <w:rFonts w:hint="eastAsia"/>
        </w:rPr>
        <w:t>WAP</w:t>
      </w:r>
      <w:r>
        <w:rPr>
          <w:rFonts w:hint="eastAsia"/>
        </w:rPr>
        <w:t>與</w:t>
      </w:r>
      <w:r>
        <w:rPr>
          <w:rFonts w:hint="eastAsia"/>
        </w:rPr>
        <w:t>R-Zone</w:t>
      </w:r>
      <w:r>
        <w:rPr>
          <w:rFonts w:hint="eastAsia"/>
        </w:rPr>
        <w:t>（</w:t>
      </w:r>
      <w:r>
        <w:rPr>
          <w:rFonts w:hint="eastAsia"/>
        </w:rPr>
        <w:t>15%</w:t>
      </w:r>
      <w:r>
        <w:rPr>
          <w:rFonts w:hint="eastAsia"/>
        </w:rPr>
        <w:t>）之間的落差計算，同時參照支出目標機制進行藥價調整。因此，主管機關及保險人在藥價調查過程中，可以輕易得知哪些藥品有哪些實際交易價？以及哪些藥品是該科別醫師臨床有客觀需求的藥品？舉例而言，倘若某藥物為多重來源供應，但全國該科別醫師在面對相同診斷時，不約而同都一直開立某品項，且該品項</w:t>
      </w:r>
      <w:r>
        <w:rPr>
          <w:rFonts w:hint="eastAsia"/>
        </w:rPr>
        <w:lastRenderedPageBreak/>
        <w:t>藥物處方量達到該主成分（規格）藥品</w:t>
      </w:r>
      <w:r>
        <w:rPr>
          <w:rFonts w:hint="eastAsia"/>
        </w:rPr>
        <w:t>15%</w:t>
      </w:r>
      <w:r>
        <w:rPr>
          <w:rFonts w:hint="eastAsia"/>
        </w:rPr>
        <w:t>以上時（</w:t>
      </w:r>
      <w:r>
        <w:rPr>
          <w:rFonts w:hint="eastAsia"/>
        </w:rPr>
        <w:t>5%</w:t>
      </w:r>
      <w:r>
        <w:rPr>
          <w:rFonts w:hint="eastAsia"/>
        </w:rPr>
        <w:t>為統計學顯著門檻），則該藥品應為有客觀需求之藥品，應殆無疑義。</w:t>
      </w:r>
    </w:p>
    <w:p w:rsidR="006E68AF" w:rsidRDefault="006E68AF" w:rsidP="006E68AF">
      <w:pPr>
        <w:pStyle w:val="affffd"/>
        <w:spacing w:line="380" w:lineRule="exact"/>
        <w:ind w:leftChars="500" w:left="1266" w:hanging="211"/>
      </w:pPr>
      <w:r>
        <w:t>2</w:t>
      </w:r>
      <w:r w:rsidRPr="002572B9">
        <w:rPr>
          <w:rFonts w:ascii="華康細明體"/>
        </w:rPr>
        <w:t>.</w:t>
      </w:r>
      <w:r>
        <w:rPr>
          <w:rFonts w:hint="eastAsia"/>
        </w:rPr>
        <w:t>而一旦該藥品依據現行藥價調整制度計算後，若調整支價格低於健保調查之該品項實際交易最低價，則顯然該藥品將被迫無法供應。面對病患或醫師有客觀需求，但藥價調整制度將迫使其無法供應，藥價調查制度就應設立預警機制，及後續處理規範，以防缺藥事件不斷發生。</w:t>
      </w:r>
    </w:p>
    <w:p w:rsidR="006E68AF" w:rsidRDefault="006E68AF" w:rsidP="006E68AF">
      <w:pPr>
        <w:pStyle w:val="affffd"/>
        <w:spacing w:line="380" w:lineRule="exact"/>
        <w:ind w:leftChars="500" w:left="1266" w:hanging="211"/>
      </w:pPr>
      <w:r>
        <w:t>3</w:t>
      </w:r>
      <w:r w:rsidRPr="002572B9">
        <w:rPr>
          <w:rFonts w:ascii="華康細明體"/>
        </w:rPr>
        <w:t>.</w:t>
      </w:r>
      <w:r>
        <w:rPr>
          <w:rFonts w:hint="eastAsia"/>
        </w:rPr>
        <w:t>但目前主管機關只處理必要藥品，對於上述缺藥危機常以有其他藥品可資替代，但這樣的想法，與民眾及臨床處方需求顯然有重大落差。而換藥後更造成健保藥費始終居高不下的問題，使得藥價調整的效益大打折扣。故舊藥不敷成本斷藥進而缺藥問題，主管機關實應予以重視。</w:t>
      </w:r>
    </w:p>
    <w:p w:rsidR="006E68AF" w:rsidRDefault="006E68AF" w:rsidP="006E68AF">
      <w:pPr>
        <w:pStyle w:val="affffd"/>
        <w:spacing w:line="380" w:lineRule="exact"/>
        <w:ind w:leftChars="300" w:left="1055" w:hangingChars="200" w:hanging="422"/>
      </w:pPr>
      <w:r w:rsidRPr="002572B9">
        <w:rPr>
          <w:rFonts w:ascii="華康細明體" w:hint="eastAsia"/>
        </w:rPr>
        <w:t>(</w:t>
      </w:r>
      <w:r>
        <w:rPr>
          <w:rFonts w:hint="eastAsia"/>
        </w:rPr>
        <w:t>二</w:t>
      </w:r>
      <w:r w:rsidRPr="002572B9">
        <w:rPr>
          <w:rFonts w:ascii="華康細明體" w:hint="eastAsia"/>
        </w:rPr>
        <w:t>)</w:t>
      </w:r>
      <w:r>
        <w:rPr>
          <w:rFonts w:hint="eastAsia"/>
        </w:rPr>
        <w:t>藥價調整應檢討現行健保財務越來越好，但新藥引進卻越來越慢的問題：</w:t>
      </w:r>
    </w:p>
    <w:p w:rsidR="006E68AF" w:rsidRDefault="006E68AF" w:rsidP="006E68AF">
      <w:pPr>
        <w:pStyle w:val="affffd"/>
        <w:spacing w:line="380" w:lineRule="exact"/>
        <w:ind w:leftChars="500" w:left="1266" w:hanging="211"/>
      </w:pPr>
      <w:r>
        <w:t>1</w:t>
      </w:r>
      <w:r w:rsidRPr="002572B9">
        <w:rPr>
          <w:rFonts w:ascii="華康細明體"/>
        </w:rPr>
        <w:t>.</w:t>
      </w:r>
      <w:r>
        <w:rPr>
          <w:rFonts w:hint="eastAsia"/>
        </w:rPr>
        <w:t>健保藥價調查的正當性在於，透過藥價調整，讓新藥有引進的空間。因此理論上，健保財務越好，新藥引進的速度應該越快。既有高額藥價差，且有可資替代的藥品價格砍得越凶，照理說新藥引進的空間就會越來越快。</w:t>
      </w:r>
    </w:p>
    <w:p w:rsidR="006E68AF" w:rsidRDefault="006E68AF" w:rsidP="006E68AF">
      <w:pPr>
        <w:pStyle w:val="affffd"/>
        <w:spacing w:line="380" w:lineRule="exact"/>
        <w:ind w:leftChars="500" w:left="1266" w:hanging="211"/>
      </w:pPr>
      <w:r>
        <w:t>2</w:t>
      </w:r>
      <w:r w:rsidRPr="002572B9">
        <w:rPr>
          <w:rFonts w:ascii="華康細明體"/>
        </w:rPr>
        <w:t>.</w:t>
      </w:r>
      <w:r>
        <w:rPr>
          <w:rFonts w:hint="eastAsia"/>
        </w:rPr>
        <w:t>但事實證明，健保歷經八次藥價調整，少則數十億，多則百餘億元，但新藥引進的速度卻沒有變快，據統計，目前新藥已經接近兩年才能引進。而反觀健保財務，在補充保費挹注之下，健保已經達到十年來最佳財務狀態！然而前面的數字會說話，新藥引進的障礙，跟健保財務改善與藥價調整成效之間，既沒有因果關係，甚至也沒有連正相關！</w:t>
      </w:r>
    </w:p>
    <w:p w:rsidR="006E68AF" w:rsidRDefault="006E68AF" w:rsidP="006E68AF">
      <w:pPr>
        <w:pStyle w:val="affffd"/>
        <w:spacing w:line="380" w:lineRule="exact"/>
        <w:ind w:leftChars="500" w:left="1266" w:hanging="211"/>
      </w:pPr>
      <w:r>
        <w:t>3</w:t>
      </w:r>
      <w:r w:rsidRPr="002572B9">
        <w:rPr>
          <w:rFonts w:ascii="華康細明體"/>
        </w:rPr>
        <w:t>.</w:t>
      </w:r>
      <w:r>
        <w:rPr>
          <w:rFonts w:hint="eastAsia"/>
        </w:rPr>
        <w:t>新藥引進在二代健保時期的問題，並沒有隨著健保財務抒解而加速，因為新藥引進延遲與否，跟藥價調整沒有太大的關係。現在的問題與其說在藥價調整，還不如說是在共同擬定會議的紛擾。因為共同擬定會議中充斥健保總額分配的利害關係人，相關代表亟欲分配充盈的健保資源，以及利害關係人憂心新藥衝擊總額分配，故各種對新藥引進的意見越來越複雜所致。</w:t>
      </w:r>
    </w:p>
    <w:p w:rsidR="006E68AF" w:rsidRDefault="006E68AF" w:rsidP="006E68AF">
      <w:pPr>
        <w:pStyle w:val="affffd"/>
        <w:spacing w:line="380" w:lineRule="exact"/>
        <w:ind w:leftChars="500" w:left="1266" w:hanging="211"/>
      </w:pPr>
      <w:r>
        <w:t>4</w:t>
      </w:r>
      <w:r w:rsidRPr="002572B9">
        <w:rPr>
          <w:rFonts w:ascii="華康細明體"/>
        </w:rPr>
        <w:t>.</w:t>
      </w:r>
      <w:r>
        <w:rPr>
          <w:rFonts w:hint="eastAsia"/>
        </w:rPr>
        <w:t>事實上前述新藥引進問題，不僅造成病患及醫藥界關心，也已經造成主管機關及保險人的困擾。而如果二代健保無法再修正，也一直無法解決前述問題，藥價調整舊制繼續運作，恐怕造成「舊藥不見了！新藥進不來的困境！」。故在二代健保新藥引進前述困境未解決時，繼續進行藥價調整是否造成嚴重的後遺症？值得衛福部深思。</w:t>
      </w:r>
    </w:p>
    <w:p w:rsidR="006E68AF" w:rsidRDefault="006E68AF" w:rsidP="006E68AF">
      <w:pPr>
        <w:pStyle w:val="affffd"/>
        <w:spacing w:line="380" w:lineRule="exact"/>
        <w:ind w:leftChars="300" w:left="1055" w:hangingChars="200" w:hanging="422"/>
      </w:pPr>
      <w:r w:rsidRPr="002572B9">
        <w:rPr>
          <w:rFonts w:ascii="華康細明體" w:hint="eastAsia"/>
        </w:rPr>
        <w:t>(</w:t>
      </w:r>
      <w:r>
        <w:rPr>
          <w:rFonts w:hint="eastAsia"/>
        </w:rPr>
        <w:t>三</w:t>
      </w:r>
      <w:r w:rsidRPr="002572B9">
        <w:rPr>
          <w:rFonts w:ascii="華康細明體" w:hint="eastAsia"/>
        </w:rPr>
        <w:t>)</w:t>
      </w:r>
      <w:r>
        <w:rPr>
          <w:rFonts w:hint="eastAsia"/>
        </w:rPr>
        <w:t>藥費支出目標制應重新審思超過時的調整金額及分配方式：</w:t>
      </w:r>
    </w:p>
    <w:p w:rsidR="006E68AF" w:rsidRDefault="006E68AF" w:rsidP="006E68AF">
      <w:pPr>
        <w:pStyle w:val="affffd"/>
        <w:spacing w:line="380" w:lineRule="exact"/>
        <w:ind w:leftChars="500" w:left="1266" w:hanging="211"/>
      </w:pPr>
      <w:r>
        <w:t>1</w:t>
      </w:r>
      <w:r w:rsidRPr="002572B9">
        <w:rPr>
          <w:rFonts w:ascii="華康細明體"/>
        </w:rPr>
        <w:t>.</w:t>
      </w:r>
      <w:r>
        <w:rPr>
          <w:rFonts w:hint="eastAsia"/>
        </w:rPr>
        <w:t>如前所述，二代健保母法雖明訂，超過支出目標的金額，應自醫療費用及下一年度藥價調整中追回，而「醫」與「藥」回收的總金額，當然不能超過支出目標的總金額！否則如何詮釋未超過支出目標時，醫與藥都不用進行任何回收動作的道理，此乃法律之當然解釋，殆無疑義。</w:t>
      </w:r>
    </w:p>
    <w:p w:rsidR="006E68AF" w:rsidRDefault="006E68AF" w:rsidP="006E68AF">
      <w:pPr>
        <w:pStyle w:val="affffd"/>
        <w:spacing w:line="380" w:lineRule="exact"/>
        <w:ind w:leftChars="500" w:left="1266" w:hanging="211"/>
      </w:pPr>
      <w:r>
        <w:t>2</w:t>
      </w:r>
      <w:r w:rsidRPr="002572B9">
        <w:rPr>
          <w:rFonts w:ascii="華康細明體"/>
        </w:rPr>
        <w:t>.</w:t>
      </w:r>
      <w:r>
        <w:rPr>
          <w:rFonts w:hint="eastAsia"/>
        </w:rPr>
        <w:t>但以試辦施行兩年的藥費支出目標至而言，究竟藥費超過支出目標時，下一年度醫</w:t>
      </w:r>
      <w:r>
        <w:rPr>
          <w:rFonts w:hint="eastAsia"/>
        </w:rPr>
        <w:lastRenderedPageBreak/>
        <w:t>療費用回收及要藥價調整回收總金額是多少？醫療院所費用回收及藥費回收兩者加總後，主管機關有沒有超額重複回收？衛福部有義務說清楚、講明白！</w:t>
      </w:r>
    </w:p>
    <w:p w:rsidR="006E68AF" w:rsidRDefault="006E68AF" w:rsidP="006E68AF">
      <w:pPr>
        <w:pStyle w:val="affffd"/>
        <w:spacing w:line="380" w:lineRule="exact"/>
        <w:ind w:leftChars="500" w:left="1266" w:hanging="211"/>
      </w:pPr>
      <w:r>
        <w:t>3</w:t>
      </w:r>
      <w:r w:rsidRPr="002572B9">
        <w:rPr>
          <w:rFonts w:ascii="華康細明體"/>
        </w:rPr>
        <w:t>.</w:t>
      </w:r>
      <w:r>
        <w:rPr>
          <w:rFonts w:hint="eastAsia"/>
        </w:rPr>
        <w:t>藥費超過支出目標以後，除了總金額外，母法沒有提及的還有應回收總金額的醫</w:t>
      </w:r>
      <w:r>
        <w:rPr>
          <w:rFonts w:hint="eastAsia"/>
        </w:rPr>
        <w:t>/</w:t>
      </w:r>
      <w:r>
        <w:rPr>
          <w:rFonts w:hint="eastAsia"/>
        </w:rPr>
        <w:t>藥分配比例問題。如果以總額分配的比例而言，近六千億的健保支出，藥費占</w:t>
      </w:r>
      <w:r>
        <w:rPr>
          <w:rFonts w:hint="eastAsia"/>
        </w:rPr>
        <w:t>1/4</w:t>
      </w:r>
      <w:r>
        <w:rPr>
          <w:rFonts w:hint="eastAsia"/>
        </w:rPr>
        <w:t>，有論者因此主張醫藥依據此比例分配。但也有論者主張各半分擔，究竟超出部分醫與藥之間應該如何分擔較為合理妥當？母法既未明訂，主管機關就應邀集產官學專家集思廣益，方為正辦。而不是超過多少金額，醫界也回收該金額醫療費用，藥價也調整該金額，如此一來，不僅涉及重複回收的問題，還造成權責不明！導致超過支出目標時的回收，讓守規矩的醫療院所及藥物供應者受傷，但對造成超量超限使用的人，反而有其他人替其吸收侵蝕健保資源的懲罰。</w:t>
      </w:r>
    </w:p>
    <w:p w:rsidR="006E68AF" w:rsidRDefault="006E68AF" w:rsidP="006E68AF">
      <w:pPr>
        <w:pStyle w:val="affffd"/>
        <w:spacing w:line="380" w:lineRule="exact"/>
        <w:ind w:leftChars="300" w:left="1055" w:hangingChars="200" w:hanging="422"/>
      </w:pPr>
      <w:r w:rsidRPr="002572B9">
        <w:rPr>
          <w:rFonts w:ascii="華康細明體" w:hint="eastAsia"/>
        </w:rPr>
        <w:t>(</w:t>
      </w:r>
      <w:r>
        <w:rPr>
          <w:rFonts w:hint="eastAsia"/>
        </w:rPr>
        <w:t>四</w:t>
      </w:r>
      <w:r w:rsidRPr="002572B9">
        <w:rPr>
          <w:rFonts w:ascii="華康細明體" w:hint="eastAsia"/>
        </w:rPr>
        <w:t>)</w:t>
      </w:r>
      <w:r>
        <w:rPr>
          <w:rFonts w:hint="eastAsia"/>
        </w:rPr>
        <w:t>第九次藥價調整應考慮主管機關此刻正推動國內藥物品質提升的產業重大投資問題：</w:t>
      </w:r>
    </w:p>
    <w:p w:rsidR="006E68AF" w:rsidRDefault="006E68AF" w:rsidP="006E68AF">
      <w:pPr>
        <w:pStyle w:val="affffd"/>
        <w:spacing w:line="380" w:lineRule="exact"/>
        <w:ind w:leftChars="500" w:left="1266" w:hanging="211"/>
      </w:pPr>
      <w:r>
        <w:t>1</w:t>
      </w:r>
      <w:r w:rsidRPr="002572B9">
        <w:rPr>
          <w:rFonts w:ascii="華康細明體"/>
        </w:rPr>
        <w:t>.</w:t>
      </w:r>
      <w:r>
        <w:rPr>
          <w:rFonts w:hint="eastAsia"/>
        </w:rPr>
        <w:t>主管機關衛福部為了提升國內藥物品質，及製藥產業國際競爭力，本年初全面執行西藥製劑廠</w:t>
      </w:r>
      <w:r>
        <w:rPr>
          <w:rFonts w:hint="eastAsia"/>
        </w:rPr>
        <w:t>PIC/S GMP</w:t>
      </w:r>
      <w:r>
        <w:rPr>
          <w:rFonts w:hint="eastAsia"/>
        </w:rPr>
        <w:t>認證，西藥製劑廠少則投資上億元，有的甚至投資數十億元，總計國內製藥界全年投資達新台幣三百億元以上。</w:t>
      </w:r>
    </w:p>
    <w:p w:rsidR="006E68AF" w:rsidRDefault="006E68AF" w:rsidP="006E68AF">
      <w:pPr>
        <w:pStyle w:val="affffd"/>
        <w:spacing w:line="380" w:lineRule="exact"/>
        <w:ind w:leftChars="500" w:left="1266" w:hanging="211"/>
      </w:pPr>
      <w:r>
        <w:t>2</w:t>
      </w:r>
      <w:r w:rsidRPr="002572B9">
        <w:rPr>
          <w:rFonts w:ascii="華康細明體"/>
        </w:rPr>
        <w:t>.</w:t>
      </w:r>
      <w:r>
        <w:rPr>
          <w:rFonts w:hint="eastAsia"/>
        </w:rPr>
        <w:t>值此品質提升，國人可以享有更好的製劑藥廠提供優質藥物之際，若在未釐清前述種種問題情況下，援引健保藥價調整舊制，進行藥價調降，則健保給付與食品藥物管理署投資政策恐背道而馳。</w:t>
      </w:r>
    </w:p>
    <w:p w:rsidR="006E68AF" w:rsidRDefault="006E68AF" w:rsidP="006E68AF">
      <w:pPr>
        <w:pStyle w:val="affffd"/>
        <w:spacing w:line="380" w:lineRule="exact"/>
        <w:ind w:leftChars="500" w:left="1266" w:hanging="211"/>
      </w:pPr>
      <w:r>
        <w:t>3</w:t>
      </w:r>
      <w:r w:rsidRPr="002572B9">
        <w:rPr>
          <w:rFonts w:ascii="華康細明體"/>
        </w:rPr>
        <w:t>.</w:t>
      </w:r>
      <w:r>
        <w:rPr>
          <w:rFonts w:hint="eastAsia"/>
        </w:rPr>
        <w:t>因為倘若</w:t>
      </w:r>
      <w:r>
        <w:rPr>
          <w:rFonts w:hint="eastAsia"/>
        </w:rPr>
        <w:t>PIC/S</w:t>
      </w:r>
      <w:r>
        <w:rPr>
          <w:rFonts w:hint="eastAsia"/>
        </w:rPr>
        <w:t>廠真的有交易極低的藥價，健保藥價調降至該價格尚屬合情合理；但若某通過</w:t>
      </w:r>
      <w:r>
        <w:rPr>
          <w:rFonts w:hint="eastAsia"/>
        </w:rPr>
        <w:t>PIC/S</w:t>
      </w:r>
      <w:r>
        <w:rPr>
          <w:rFonts w:hint="eastAsia"/>
        </w:rPr>
        <w:t>藥廠根本沒有銷售如此低的藥價，卻以其他</w:t>
      </w:r>
      <w:r>
        <w:rPr>
          <w:rFonts w:hint="eastAsia"/>
        </w:rPr>
        <w:t>non PIC/S</w:t>
      </w:r>
      <w:r>
        <w:rPr>
          <w:rFonts w:hint="eastAsia"/>
        </w:rPr>
        <w:t>藥價</w:t>
      </w:r>
      <w:r>
        <w:rPr>
          <w:rFonts w:hint="eastAsia"/>
        </w:rPr>
        <w:t>Grouping</w:t>
      </w:r>
      <w:r>
        <w:rPr>
          <w:rFonts w:hint="eastAsia"/>
        </w:rPr>
        <w:t>後調降其藥價，則等於是一種反淘汰。相同的道理也出現在原開發廠藥物上。</w:t>
      </w:r>
      <w:r>
        <w:rPr>
          <w:rFonts w:hint="eastAsia"/>
        </w:rPr>
        <w:t>104</w:t>
      </w:r>
      <w:r>
        <w:rPr>
          <w:rFonts w:hint="eastAsia"/>
        </w:rPr>
        <w:t>年</w:t>
      </w:r>
      <w:r>
        <w:rPr>
          <w:rFonts w:hint="eastAsia"/>
        </w:rPr>
        <w:t>TFDA</w:t>
      </w:r>
      <w:r>
        <w:rPr>
          <w:rFonts w:hint="eastAsia"/>
        </w:rPr>
        <w:t>將實施全面賦形劑標記，而賦形劑也尚未列入健保藥價思維。</w:t>
      </w:r>
      <w:r>
        <w:rPr>
          <w:rFonts w:hint="eastAsia"/>
        </w:rPr>
        <w:t>105</w:t>
      </w:r>
      <w:r>
        <w:rPr>
          <w:rFonts w:hint="eastAsia"/>
        </w:rPr>
        <w:t>年</w:t>
      </w:r>
      <w:r>
        <w:rPr>
          <w:rFonts w:hint="eastAsia"/>
        </w:rPr>
        <w:t>1</w:t>
      </w:r>
      <w:r>
        <w:rPr>
          <w:rFonts w:hint="eastAsia"/>
        </w:rPr>
        <w:t>月起，原料藥廠要求全面符合</w:t>
      </w:r>
      <w:r>
        <w:rPr>
          <w:rFonts w:hint="eastAsia"/>
        </w:rPr>
        <w:t>GMP</w:t>
      </w:r>
      <w:r>
        <w:rPr>
          <w:rFonts w:hint="eastAsia"/>
        </w:rPr>
        <w:t>。</w:t>
      </w:r>
      <w:r>
        <w:rPr>
          <w:rFonts w:hint="eastAsia"/>
        </w:rPr>
        <w:t>105</w:t>
      </w:r>
      <w:r>
        <w:rPr>
          <w:rFonts w:hint="eastAsia"/>
        </w:rPr>
        <w:t>年</w:t>
      </w:r>
      <w:r>
        <w:rPr>
          <w:rFonts w:hint="eastAsia"/>
        </w:rPr>
        <w:t>7</w:t>
      </w:r>
      <w:r>
        <w:rPr>
          <w:rFonts w:hint="eastAsia"/>
        </w:rPr>
        <w:t>月起，原料藥許可證要全面符合</w:t>
      </w:r>
      <w:r>
        <w:rPr>
          <w:rFonts w:hint="eastAsia"/>
        </w:rPr>
        <w:t>GMP</w:t>
      </w:r>
      <w:r>
        <w:rPr>
          <w:rFonts w:hint="eastAsia"/>
        </w:rPr>
        <w:t>。凡此種種，都是主管機關要求產業界進行的重大投資，也成為藥物品質的必要成本！故主管機關接應重新思維，到底總額支付制度與支出目標制度有何不同？並應將支出目標制度在馬總統白皮書的機制，修訂到支出目標至中，以免給付低於成本的窘境一再出現。</w:t>
      </w:r>
    </w:p>
    <w:p w:rsidR="006E68AF" w:rsidRDefault="006E68AF" w:rsidP="006E68AF">
      <w:pPr>
        <w:pStyle w:val="afffff0"/>
        <w:spacing w:line="380" w:lineRule="exact"/>
        <w:ind w:left="633" w:hanging="422"/>
      </w:pPr>
      <w:r>
        <w:rPr>
          <w:rFonts w:hint="eastAsia"/>
        </w:rPr>
        <w:t>四、綜上所述，藥價調查及藥價調整，在目前健保架構下，固應繼續執行，但藥價調整執行的方法，實應有重新審思的必要，尤其應該考慮前述「缺藥預警機制」、「新藥引進障礙」、「超過支出目標應回收支總金額與醫藥分配比例」，以及「政府要求產業之投資及所反應之藥物成本」，；同時也要探討支出目標制度與斷頭式總額制度之差異所在，才能讓藥價調整制度更貼近二代健保立法意旨及馬總統推動支出目標制的原意。是以，本席建議行政院，應先思考藥品政策全國會議結論，並檢討相關政策及法令，待修正配套完整後，再進一步擬定第九次藥價調整方案，以免前述尚未檢討事宜，對社會產生重大衝擊，以及藥品政策全國會議若有相關結論，卻無法於第九次藥價調整開始施行，特向行政院提出緊急質詢。</w:t>
      </w:r>
    </w:p>
    <w:p w:rsidR="006E68AF" w:rsidRPr="00D75CFF" w:rsidRDefault="006E68AF" w:rsidP="006E68AF">
      <w:pPr>
        <w:pStyle w:val="afb"/>
        <w:spacing w:beforeLines="100" w:before="335" w:line="420" w:lineRule="exact"/>
        <w:ind w:leftChars="0" w:left="855" w:hanging="855"/>
      </w:pPr>
      <w:r>
        <w:rPr>
          <w:rFonts w:hint="eastAsia"/>
        </w:rPr>
        <w:lastRenderedPageBreak/>
        <w:t>（二）</w:t>
      </w:r>
      <w:r w:rsidRPr="00D75CFF">
        <w:rPr>
          <w:rFonts w:hint="eastAsia"/>
        </w:rPr>
        <w:t>本院丁委員守中，因近期國內重大航空事故頻傳，其中復興航空</w:t>
      </w:r>
      <w:r w:rsidRPr="00D75CFF">
        <w:rPr>
          <w:rFonts w:hint="eastAsia"/>
        </w:rPr>
        <w:t>103</w:t>
      </w:r>
      <w:r w:rsidRPr="00D75CFF">
        <w:rPr>
          <w:rFonts w:hint="eastAsia"/>
        </w:rPr>
        <w:t>年</w:t>
      </w:r>
      <w:r w:rsidRPr="00D75CFF">
        <w:rPr>
          <w:rFonts w:hint="eastAsia"/>
        </w:rPr>
        <w:t>7</w:t>
      </w:r>
      <w:r w:rsidRPr="00D75CFF">
        <w:rPr>
          <w:rFonts w:hint="eastAsia"/>
        </w:rPr>
        <w:t>月</w:t>
      </w:r>
      <w:r w:rsidRPr="00D75CFF">
        <w:rPr>
          <w:rFonts w:hint="eastAsia"/>
        </w:rPr>
        <w:t>23</w:t>
      </w:r>
      <w:r w:rsidRPr="00D75CFF">
        <w:rPr>
          <w:rFonts w:hint="eastAsia"/>
        </w:rPr>
        <w:t>日</w:t>
      </w:r>
      <w:r w:rsidRPr="00D75CFF">
        <w:rPr>
          <w:rFonts w:hint="eastAsia"/>
        </w:rPr>
        <w:t>GE222</w:t>
      </w:r>
      <w:r w:rsidRPr="00D75CFF">
        <w:rPr>
          <w:rFonts w:hint="eastAsia"/>
        </w:rPr>
        <w:t>號班機於馬公失事，造成機上人員</w:t>
      </w:r>
      <w:r w:rsidRPr="00D75CFF">
        <w:rPr>
          <w:rFonts w:hint="eastAsia"/>
        </w:rPr>
        <w:t>48</w:t>
      </w:r>
      <w:r w:rsidRPr="00D75CFF">
        <w:rPr>
          <w:rFonts w:hint="eastAsia"/>
        </w:rPr>
        <w:t>人死亡、</w:t>
      </w:r>
      <w:r w:rsidRPr="00D75CFF">
        <w:rPr>
          <w:rFonts w:hint="eastAsia"/>
        </w:rPr>
        <w:t>10</w:t>
      </w:r>
      <w:r w:rsidRPr="00D75CFF">
        <w:rPr>
          <w:rFonts w:hint="eastAsia"/>
        </w:rPr>
        <w:t>人重傷、波及</w:t>
      </w:r>
      <w:r w:rsidRPr="00D75CFF">
        <w:rPr>
          <w:rFonts w:hint="eastAsia"/>
        </w:rPr>
        <w:t>11</w:t>
      </w:r>
      <w:r w:rsidRPr="00D75CFF">
        <w:rPr>
          <w:rFonts w:hint="eastAsia"/>
        </w:rPr>
        <w:t>棟民宅；</w:t>
      </w:r>
      <w:r w:rsidRPr="00D75CFF">
        <w:rPr>
          <w:rFonts w:hint="eastAsia"/>
        </w:rPr>
        <w:t>104</w:t>
      </w:r>
      <w:r w:rsidRPr="00D75CFF">
        <w:rPr>
          <w:rFonts w:hint="eastAsia"/>
        </w:rPr>
        <w:t>年</w:t>
      </w:r>
      <w:r w:rsidRPr="00D75CFF">
        <w:rPr>
          <w:rFonts w:hint="eastAsia"/>
        </w:rPr>
        <w:t>2</w:t>
      </w:r>
      <w:r w:rsidRPr="00D75CFF">
        <w:rPr>
          <w:rFonts w:hint="eastAsia"/>
        </w:rPr>
        <w:t>月</w:t>
      </w:r>
      <w:r w:rsidRPr="00D75CFF">
        <w:rPr>
          <w:rFonts w:hint="eastAsia"/>
        </w:rPr>
        <w:t>4</w:t>
      </w:r>
      <w:r w:rsidRPr="00D75CFF">
        <w:rPr>
          <w:rFonts w:hint="eastAsia"/>
        </w:rPr>
        <w:t>日</w:t>
      </w:r>
      <w:r w:rsidRPr="00D75CFF">
        <w:rPr>
          <w:rFonts w:hint="eastAsia"/>
        </w:rPr>
        <w:t>GE235</w:t>
      </w:r>
      <w:r w:rsidRPr="00D75CFF">
        <w:rPr>
          <w:rFonts w:hint="eastAsia"/>
        </w:rPr>
        <w:t>號班機墜毀於基隆河，造成</w:t>
      </w:r>
      <w:r w:rsidRPr="00D75CFF">
        <w:rPr>
          <w:rFonts w:hint="eastAsia"/>
        </w:rPr>
        <w:t>31</w:t>
      </w:r>
      <w:r w:rsidRPr="00D75CFF">
        <w:rPr>
          <w:rFonts w:hint="eastAsia"/>
        </w:rPr>
        <w:t>人罹難，短短半年多的時間接連發生如此慘劇，航空公司及主管機關民航局難逃其咎。事實上，飛機是最安全的交通工具，而且事故致死率也不斷下降，以波音或空中巴士單走道飛機為例，大約每八百萬次飛行才有一次「一人以上死亡」的事故，過去</w:t>
      </w:r>
      <w:r w:rsidRPr="00D75CFF">
        <w:rPr>
          <w:rFonts w:hint="eastAsia"/>
        </w:rPr>
        <w:t>10</w:t>
      </w:r>
      <w:r w:rsidRPr="00D75CFF">
        <w:rPr>
          <w:rFonts w:hint="eastAsia"/>
        </w:rPr>
        <w:t>年，全球</w:t>
      </w:r>
      <w:r w:rsidRPr="00D75CFF">
        <w:rPr>
          <w:rFonts w:hint="eastAsia"/>
        </w:rPr>
        <w:t>19</w:t>
      </w:r>
      <w:r w:rsidRPr="00D75CFF">
        <w:rPr>
          <w:rFonts w:hint="eastAsia"/>
        </w:rPr>
        <w:t>個座位以上的民航機總事故率是</w:t>
      </w:r>
      <w:r w:rsidRPr="00D75CFF">
        <w:rPr>
          <w:rFonts w:hint="eastAsia"/>
        </w:rPr>
        <w:t>99</w:t>
      </w:r>
      <w:r w:rsidRPr="00D75CFF">
        <w:rPr>
          <w:rFonts w:hint="eastAsia"/>
        </w:rPr>
        <w:t>次，過去兩年分別是</w:t>
      </w:r>
      <w:r w:rsidRPr="00D75CFF">
        <w:rPr>
          <w:rFonts w:hint="eastAsia"/>
        </w:rPr>
        <w:t>7</w:t>
      </w:r>
      <w:r w:rsidRPr="00D75CFF">
        <w:rPr>
          <w:rFonts w:hint="eastAsia"/>
        </w:rPr>
        <w:t>次與</w:t>
      </w:r>
      <w:r w:rsidRPr="00D75CFF">
        <w:rPr>
          <w:rFonts w:hint="eastAsia"/>
        </w:rPr>
        <w:t>6</w:t>
      </w:r>
      <w:r w:rsidRPr="00D75CFF">
        <w:rPr>
          <w:rFonts w:hint="eastAsia"/>
        </w:rPr>
        <w:t>次，但復興航空僅僅半年就發生兩次事故，比例極不尋常。根據統計全球</w:t>
      </w:r>
      <w:r w:rsidRPr="00D75CFF">
        <w:rPr>
          <w:rFonts w:hint="eastAsia"/>
        </w:rPr>
        <w:t>78</w:t>
      </w:r>
      <w:r w:rsidRPr="00D75CFF">
        <w:rPr>
          <w:rFonts w:hint="eastAsia"/>
        </w:rPr>
        <w:t>家具規模航空公司中，搭乘安全前段班</w:t>
      </w:r>
      <w:r w:rsidRPr="00D75CFF">
        <w:rPr>
          <w:rFonts w:hint="eastAsia"/>
        </w:rPr>
        <w:t>39</w:t>
      </w:r>
      <w:r w:rsidRPr="00D75CFF">
        <w:rPr>
          <w:rFonts w:hint="eastAsia"/>
        </w:rPr>
        <w:t>家乘客的平均死亡機率是兩千萬分之一，但搭乘後段班</w:t>
      </w:r>
      <w:r w:rsidRPr="00D75CFF">
        <w:rPr>
          <w:rFonts w:hint="eastAsia"/>
        </w:rPr>
        <w:t>39</w:t>
      </w:r>
      <w:r w:rsidRPr="00D75CFF">
        <w:rPr>
          <w:rFonts w:hint="eastAsia"/>
        </w:rPr>
        <w:t>家乘客的平均死亡率則大增為兩百萬分之一，可見飛航安全的關鍵因素，就在於管理，航空公司管理的責任就在於主管民航主管機關的監督。台灣為海島國家，國內外旅客往來都得仰賴飛行機具，本席要求民航局徹底落實監督機制，嚴格審查航空公司飛安管理情況，以免悲劇再度發生，不但使人喪命，更令國家蒙羞，特此向行政院提出質詢。</w:t>
      </w:r>
    </w:p>
    <w:p w:rsidR="006E68AF" w:rsidRPr="00030D56" w:rsidRDefault="006E68AF" w:rsidP="006E68AF">
      <w:pPr>
        <w:pStyle w:val="a4"/>
        <w:spacing w:line="240" w:lineRule="auto"/>
        <w:ind w:left="633" w:hanging="633"/>
      </w:pPr>
    </w:p>
    <w:p w:rsidR="006E68AF" w:rsidRDefault="006E68AF" w:rsidP="006E68AF">
      <w:pPr>
        <w:pStyle w:val="a4"/>
        <w:spacing w:line="380" w:lineRule="exact"/>
        <w:ind w:left="633" w:hanging="633"/>
      </w:pPr>
      <w:r>
        <w:rPr>
          <w:rFonts w:hint="eastAsia"/>
        </w:rPr>
        <w:t>說明：</w:t>
      </w:r>
    </w:p>
    <w:p w:rsidR="006E68AF" w:rsidRDefault="006E68AF" w:rsidP="006E68AF">
      <w:pPr>
        <w:pStyle w:val="afffff0"/>
        <w:spacing w:line="380" w:lineRule="exact"/>
        <w:ind w:left="633" w:hanging="422"/>
      </w:pPr>
      <w:r>
        <w:rPr>
          <w:rFonts w:hint="eastAsia"/>
        </w:rPr>
        <w:t>一、台灣的飛安問題長期存在，近來更逐漸淪為國際的末段班，過去</w:t>
      </w:r>
      <w:r>
        <w:rPr>
          <w:rFonts w:hint="eastAsia"/>
        </w:rPr>
        <w:t>10</w:t>
      </w:r>
      <w:r>
        <w:rPr>
          <w:rFonts w:hint="eastAsia"/>
        </w:rPr>
        <w:t>年，全球</w:t>
      </w:r>
      <w:r>
        <w:rPr>
          <w:rFonts w:hint="eastAsia"/>
        </w:rPr>
        <w:t>19</w:t>
      </w:r>
      <w:r>
        <w:rPr>
          <w:rFonts w:hint="eastAsia"/>
        </w:rPr>
        <w:t>個座位以上的所有民航機的總事故率是</w:t>
      </w:r>
      <w:r>
        <w:rPr>
          <w:rFonts w:hint="eastAsia"/>
        </w:rPr>
        <w:t>99</w:t>
      </w:r>
      <w:r>
        <w:rPr>
          <w:rFonts w:hint="eastAsia"/>
        </w:rPr>
        <w:t>次，平均每年</w:t>
      </w:r>
      <w:r>
        <w:rPr>
          <w:rFonts w:hint="eastAsia"/>
        </w:rPr>
        <w:t>10</w:t>
      </w:r>
      <w:r>
        <w:rPr>
          <w:rFonts w:hint="eastAsia"/>
        </w:rPr>
        <w:t>次，過去兩年則分別是七次與六次，數字逐年下降，然而以復興航空之規模，僅僅半年多就發生了兩次空難，確有嚴重問題。</w:t>
      </w:r>
    </w:p>
    <w:p w:rsidR="006E68AF" w:rsidRDefault="006E68AF" w:rsidP="006E68AF">
      <w:pPr>
        <w:pStyle w:val="afffff0"/>
        <w:spacing w:line="380" w:lineRule="exact"/>
        <w:ind w:left="633" w:hanging="422"/>
      </w:pPr>
      <w:r>
        <w:rPr>
          <w:rFonts w:hint="eastAsia"/>
        </w:rPr>
        <w:t>二、根據統計資料，以波音或空中巴士等單走道飛機為例，約每八百萬次飛行，才有一次有一人以上死亡的事故，一個人即使一輩子搭一百次飛機，遇上事故的機率也不到萬分之一；統計全球</w:t>
      </w:r>
      <w:r>
        <w:rPr>
          <w:rFonts w:hint="eastAsia"/>
        </w:rPr>
        <w:t>78</w:t>
      </w:r>
      <w:r>
        <w:rPr>
          <w:rFonts w:hint="eastAsia"/>
        </w:rPr>
        <w:t>家具規模航空的事故率，安全排名前半段</w:t>
      </w:r>
      <w:r>
        <w:rPr>
          <w:rFonts w:hint="eastAsia"/>
        </w:rPr>
        <w:t>39</w:t>
      </w:r>
      <w:r>
        <w:rPr>
          <w:rFonts w:hint="eastAsia"/>
        </w:rPr>
        <w:t>家航空公司的平均死亡機率為兩千萬分之一，後半段</w:t>
      </w:r>
      <w:r>
        <w:rPr>
          <w:rFonts w:hint="eastAsia"/>
        </w:rPr>
        <w:t>39</w:t>
      </w:r>
      <w:r>
        <w:rPr>
          <w:rFonts w:hint="eastAsia"/>
        </w:rPr>
        <w:t>家的死亡機率則為兩百萬分之一，在相同飛機、相同機場、相同天候下卻有如此大的差異，可見航空公司的管理是影響飛航安全的關鍵因素。</w:t>
      </w:r>
    </w:p>
    <w:p w:rsidR="006E68AF" w:rsidRPr="00441B24" w:rsidRDefault="006E68AF" w:rsidP="006E68AF">
      <w:pPr>
        <w:pStyle w:val="afffff0"/>
        <w:spacing w:line="380" w:lineRule="exact"/>
        <w:ind w:left="633" w:hanging="422"/>
      </w:pPr>
      <w:r>
        <w:rPr>
          <w:rFonts w:hint="eastAsia"/>
        </w:rPr>
        <w:t>三、台灣四面環海，對往來旅客對外多得經由飛行聯絡，鑑於兩岸每週來往班機更高達八百多班次，春節期間更加開班機，航空公司飛安管理之監督權責則在民航局，為維護飛航安全避免悲劇再度發生，民航局應徹底落實監督機制，嚴格審查航空公司飛安管理情況，免得造成空難使無辜民眾喪命，更令國家形象蒙羞。</w:t>
      </w:r>
    </w:p>
    <w:p w:rsidR="006E68AF" w:rsidRPr="00D75CFF" w:rsidRDefault="006E68AF" w:rsidP="006E68AF">
      <w:pPr>
        <w:spacing w:line="380" w:lineRule="exact"/>
      </w:pPr>
      <w:bookmarkStart w:id="0" w:name="_GoBack"/>
      <w:bookmarkEnd w:id="0"/>
    </w:p>
    <w:sectPr w:rsidR="006E68AF" w:rsidRPr="00D75CFF" w:rsidSect="00160206">
      <w:headerReference w:type="even" r:id="rId8"/>
      <w:headerReference w:type="default" r:id="rId9"/>
      <w:footerReference w:type="even" r:id="rId10"/>
      <w:footerReference w:type="default" r:id="rId11"/>
      <w:type w:val="continuous"/>
      <w:pgSz w:w="11906" w:h="16838" w:code="9"/>
      <w:pgMar w:top="1984" w:right="1417" w:bottom="1417" w:left="1417" w:header="1417" w:footer="850" w:gutter="0"/>
      <w:pgNumType w:start="125"/>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7280" w:rsidRDefault="00EC7280">
      <w:r>
        <w:separator/>
      </w:r>
    </w:p>
  </w:endnote>
  <w:endnote w:type="continuationSeparator" w:id="0">
    <w:p w:rsidR="00EC7280" w:rsidRDefault="00EC7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10609010101010101"/>
    <w:charset w:val="88"/>
    <w:family w:val="modern"/>
    <w:pitch w:val="fixed"/>
    <w:sig w:usb0="80000001"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方正新書宋">
    <w:altName w:val="標楷體"/>
    <w:charset w:val="88"/>
    <w:family w:val="script"/>
    <w:pitch w:val="fixed"/>
    <w:sig w:usb0="00000001" w:usb1="080E0000" w:usb2="00000010" w:usb3="00000000" w:csb0="00100000" w:csb1="00000000"/>
  </w:font>
  <w:font w:name="華康楷書體W5">
    <w:panose1 w:val="02010609010101010101"/>
    <w:charset w:val="88"/>
    <w:family w:val="script"/>
    <w:pitch w:val="fixed"/>
    <w:sig w:usb0="80000001" w:usb1="28091800" w:usb2="00000016" w:usb3="00000000" w:csb0="00100000" w:csb1="00000000"/>
  </w:font>
  <w:font w:name="華康中黑體">
    <w:panose1 w:val="02010609010101010101"/>
    <w:charset w:val="88"/>
    <w:family w:val="modern"/>
    <w:pitch w:val="fixed"/>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206" w:rsidRDefault="00160206">
    <w:pPr>
      <w:pStyle w:val="afff9"/>
    </w:pPr>
    <w:r>
      <mc:AlternateContent>
        <mc:Choice Requires="wps">
          <w:drawing>
            <wp:anchor distT="0" distB="0" distL="114300" distR="114300" simplePos="0" relativeHeight="251661312"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160206" w:rsidRPr="00160206" w:rsidRDefault="00160206" w:rsidP="00160206">
                          <w:pPr>
                            <w:spacing w:line="210" w:lineRule="exact"/>
                            <w:jc w:val="center"/>
                          </w:pPr>
                          <w:r>
                            <w:fldChar w:fldCharType="begin"/>
                          </w:r>
                          <w:r>
                            <w:instrText xml:space="preserve"> PAGE  \* MERGEFORMAT </w:instrText>
                          </w:r>
                          <w:r>
                            <w:fldChar w:fldCharType="separate"/>
                          </w:r>
                          <w:r w:rsidR="00795381">
                            <w:t>128</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3" o:spid="_x0000_s1028" type="#_x0000_t202" style="position:absolute;left:0;text-align:left;margin-left:.05pt;margin-top:-10.9pt;width:453.6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ps8QBAMDAABdBgAADgAAAAAAAAAAAAAAAAAuAgAAZHJzL2Uyb0RvYy54bWxQ&#10;SwECLQAUAAYACAAAACEAG7Ayo98AAAAHAQAADwAAAAAAAAAAAAAAAABdBQAAZHJzL2Rvd25yZXYu&#10;eG1sUEsFBgAAAAAEAAQA8wAAAGkGAAAAAA==&#10;" filled="f" stroked="f" strokeweight=".5pt">
              <v:textbox>
                <w:txbxContent>
                  <w:p w:rsidR="00160206" w:rsidRPr="00160206" w:rsidRDefault="00160206" w:rsidP="00160206">
                    <w:pPr>
                      <w:spacing w:line="210" w:lineRule="exact"/>
                      <w:jc w:val="center"/>
                    </w:pPr>
                    <w:r>
                      <w:fldChar w:fldCharType="begin"/>
                    </w:r>
                    <w:r>
                      <w:instrText xml:space="preserve"> PAGE  \* MERGEFORMAT </w:instrText>
                    </w:r>
                    <w:r>
                      <w:fldChar w:fldCharType="separate"/>
                    </w:r>
                    <w:r w:rsidR="00795381">
                      <w:t>128</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206" w:rsidRDefault="00160206">
    <w:pPr>
      <w:pStyle w:val="afff9"/>
    </w:pPr>
    <w:r>
      <mc:AlternateContent>
        <mc:Choice Requires="wps">
          <w:drawing>
            <wp:anchor distT="0" distB="0" distL="114300" distR="114300" simplePos="0" relativeHeight="251659264"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160206" w:rsidRPr="00160206" w:rsidRDefault="00160206" w:rsidP="00160206">
                          <w:pPr>
                            <w:spacing w:line="210" w:lineRule="exact"/>
                            <w:jc w:val="center"/>
                          </w:pPr>
                          <w:r>
                            <w:fldChar w:fldCharType="begin"/>
                          </w:r>
                          <w:r>
                            <w:instrText xml:space="preserve"> PAGE  \* MERGEFORMAT </w:instrText>
                          </w:r>
                          <w:r>
                            <w:fldChar w:fldCharType="separate"/>
                          </w:r>
                          <w:r w:rsidR="00795381">
                            <w:t>127</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9" type="#_x0000_t202" style="position:absolute;left:0;text-align:left;margin-left:.05pt;margin-top:-10.9pt;width:453.6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" filled="f" stroked="f" strokeweight=".5pt">
              <v:textbox>
                <w:txbxContent>
                  <w:p w:rsidR="00160206" w:rsidRPr="00160206" w:rsidRDefault="00160206" w:rsidP="00160206">
                    <w:pPr>
                      <w:spacing w:line="210" w:lineRule="exact"/>
                      <w:jc w:val="center"/>
                    </w:pPr>
                    <w:r>
                      <w:fldChar w:fldCharType="begin"/>
                    </w:r>
                    <w:r>
                      <w:instrText xml:space="preserve"> PAGE  \* MERGEFORMAT </w:instrText>
                    </w:r>
                    <w:r>
                      <w:fldChar w:fldCharType="separate"/>
                    </w:r>
                    <w:r w:rsidR="00795381">
                      <w:t>127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7280" w:rsidRDefault="00EC7280">
      <w:r>
        <w:separator/>
      </w:r>
    </w:p>
  </w:footnote>
  <w:footnote w:type="continuationSeparator" w:id="0">
    <w:p w:rsidR="00EC7280" w:rsidRDefault="00EC72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206" w:rsidRDefault="00160206">
    <w:pPr>
      <w:pStyle w:val="afffa"/>
    </w:pPr>
    <w:r>
      <mc:AlternateContent>
        <mc:Choice Requires="wps">
          <w:drawing>
            <wp:anchor distT="0" distB="0" distL="114300" distR="114300" simplePos="0" relativeHeight="251662336"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160206" w:rsidRPr="00160206" w:rsidRDefault="00160206" w:rsidP="00160206">
                          <w:pPr>
                            <w:spacing w:line="294" w:lineRule="exact"/>
                            <w:jc w:val="left"/>
                          </w:pPr>
                          <w:r>
                            <w:rPr>
                              <w:rFonts w:hint="eastAsia"/>
                            </w:rPr>
                            <w:t>立法院公報　第</w:t>
                          </w:r>
                          <w:r>
                            <w:rPr>
                              <w:rFonts w:hint="eastAsia"/>
                            </w:rPr>
                            <w:t>104</w:t>
                          </w:r>
                          <w:r>
                            <w:rPr>
                              <w:rFonts w:hint="eastAsia"/>
                            </w:rPr>
                            <w:t>卷　第</w:t>
                          </w:r>
                          <w:r>
                            <w:rPr>
                              <w:rFonts w:hint="eastAsia"/>
                            </w:rPr>
                            <w:t>14</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4" o:spid="_x0000_s1026" type="#_x0000_t202" style="position:absolute;left:0;text-align:left;margin-left:.05pt;margin-top:-10.85pt;width:45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" filled="f" stroked="f" strokeweight=".5pt">
              <v:fill o:detectmouseclick="t"/>
              <v:textbox>
                <w:txbxContent>
                  <w:p w:rsidR="00160206" w:rsidRPr="00160206" w:rsidRDefault="00160206" w:rsidP="00160206">
                    <w:pPr>
                      <w:spacing w:line="294" w:lineRule="exact"/>
                      <w:jc w:val="left"/>
                    </w:pPr>
                    <w:r>
                      <w:rPr>
                        <w:rFonts w:hint="eastAsia"/>
                      </w:rPr>
                      <w:t>立法院公報　第</w:t>
                    </w:r>
                    <w:r>
                      <w:rPr>
                        <w:rFonts w:hint="eastAsia"/>
                      </w:rPr>
                      <w:t>104</w:t>
                    </w:r>
                    <w:r>
                      <w:rPr>
                        <w:rFonts w:hint="eastAsia"/>
                      </w:rPr>
                      <w:t>卷　第</w:t>
                    </w:r>
                    <w:r>
                      <w:rPr>
                        <w:rFonts w:hint="eastAsia"/>
                      </w:rPr>
                      <w:t>14</w:t>
                    </w:r>
                    <w:r>
                      <w:rPr>
                        <w:rFonts w:hint="eastAsia"/>
                      </w:rPr>
                      <w:t>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206" w:rsidRDefault="00160206">
    <w:pPr>
      <w:pStyle w:val="afffa"/>
    </w:pPr>
    <w:r>
      <mc:AlternateContent>
        <mc:Choice Requires="wps">
          <w:drawing>
            <wp:anchor distT="0" distB="0" distL="114300" distR="114300" simplePos="0" relativeHeight="251660288"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160206" w:rsidRPr="00160206" w:rsidRDefault="00160206" w:rsidP="00160206">
                          <w:pPr>
                            <w:spacing w:line="294" w:lineRule="exact"/>
                            <w:jc w:val="right"/>
                          </w:pPr>
                          <w:r>
                            <w:rPr>
                              <w:rFonts w:hint="eastAsia"/>
                            </w:rPr>
                            <w:t>立法院公報　第</w:t>
                          </w:r>
                          <w:r>
                            <w:rPr>
                              <w:rFonts w:hint="eastAsia"/>
                            </w:rPr>
                            <w:t>104</w:t>
                          </w:r>
                          <w:r>
                            <w:rPr>
                              <w:rFonts w:hint="eastAsia"/>
                            </w:rPr>
                            <w:t>卷　第</w:t>
                          </w:r>
                          <w:r>
                            <w:rPr>
                              <w:rFonts w:hint="eastAsia"/>
                            </w:rPr>
                            <w:t>14</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2" o:spid="_x0000_s1027" type="#_x0000_t202" style="position:absolute;left:0;text-align:left;margin-left:.05pt;margin-top:-10.85pt;width:453.6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" filled="f" stroked="f" strokeweight=".5pt">
              <v:fill o:detectmouseclick="t"/>
              <v:textbox>
                <w:txbxContent>
                  <w:p w:rsidR="00160206" w:rsidRPr="00160206" w:rsidRDefault="00160206" w:rsidP="00160206">
                    <w:pPr>
                      <w:spacing w:line="294" w:lineRule="exact"/>
                      <w:jc w:val="right"/>
                    </w:pPr>
                    <w:r>
                      <w:rPr>
                        <w:rFonts w:hint="eastAsia"/>
                      </w:rPr>
                      <w:t>立法院公報　第</w:t>
                    </w:r>
                    <w:r>
                      <w:rPr>
                        <w:rFonts w:hint="eastAsia"/>
                      </w:rPr>
                      <w:t>104</w:t>
                    </w:r>
                    <w:r>
                      <w:rPr>
                        <w:rFonts w:hint="eastAsia"/>
                      </w:rPr>
                      <w:t>卷　第</w:t>
                    </w:r>
                    <w:r>
                      <w:rPr>
                        <w:rFonts w:hint="eastAsia"/>
                      </w:rPr>
                      <w:t>14</w:t>
                    </w:r>
                    <w:r>
                      <w:rPr>
                        <w:rFonts w:hint="eastAsia"/>
                      </w:rPr>
                      <w:t>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190F"/>
    <w:rsid w:val="00160206"/>
    <w:rsid w:val="00243D66"/>
    <w:rsid w:val="005A190F"/>
    <w:rsid w:val="00663426"/>
    <w:rsid w:val="006D4BF3"/>
    <w:rsid w:val="006E68AF"/>
    <w:rsid w:val="00795381"/>
    <w:rsid w:val="00826B17"/>
    <w:rsid w:val="00952BBE"/>
    <w:rsid w:val="00AA3294"/>
    <w:rsid w:val="00D660F9"/>
    <w:rsid w:val="00EC72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pc38\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LCEWA01.dot</Template>
  <TotalTime>0</TotalTime>
  <Pages>4</Pages>
  <Words>643</Words>
  <Characters>3671</Characters>
  <Application>Microsoft Office Word</Application>
  <DocSecurity>0</DocSecurity>
  <Lines>30</Lines>
  <Paragraphs>8</Paragraphs>
  <ScaleCrop>false</ScaleCrop>
  <Company/>
  <LinksUpToDate>false</LinksUpToDate>
  <CharactersWithSpaces>4306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Dpc38</dc:creator>
  <cp:keywords>;;</cp:keywords>
  <dc:description>125;128;4;;</dc:description>
  <cp:lastModifiedBy>Dpc38</cp:lastModifiedBy>
  <cp:revision>2</cp:revision>
  <cp:lastPrinted>2004-10-07T02:24:00Z</cp:lastPrinted>
  <dcterms:created xsi:type="dcterms:W3CDTF">2015-03-18T08:02:00Z</dcterms:created>
  <dcterms:modified xsi:type="dcterms:W3CDTF">2015-03-18T08:02:00Z</dcterms:modified>
</cp:coreProperties>
</file>