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20D04" w:rsidRDefault="00F20D04" w:rsidP="00F20D04">
      <w:pPr>
        <w:pStyle w:val="affe"/>
        <w:ind w:left="323"/>
      </w:pPr>
      <w:r>
        <w:rPr>
          <w:rFonts w:hint="eastAsia"/>
        </w:rPr>
        <w:t>乙、本院委員質詢部分</w:t>
      </w:r>
    </w:p>
    <w:p w:rsidR="00F20D04" w:rsidRPr="0048791D" w:rsidRDefault="00F20D04" w:rsidP="00F20D04">
      <w:pPr>
        <w:pStyle w:val="afb"/>
        <w:spacing w:beforeLines="100" w:before="335" w:line="420" w:lineRule="exact"/>
        <w:ind w:leftChars="0" w:left="855" w:hanging="855"/>
      </w:pPr>
      <w:r>
        <w:rPr>
          <w:rFonts w:hint="eastAsia"/>
        </w:rPr>
        <w:t>（一）</w:t>
      </w:r>
      <w:r w:rsidRPr="0048791D">
        <w:rPr>
          <w:rFonts w:hint="eastAsia"/>
        </w:rPr>
        <w:t>本院盧委員秀燕，有鑑於</w:t>
      </w:r>
      <w:r w:rsidRPr="0048791D">
        <w:rPr>
          <w:rFonts w:hint="eastAsia"/>
        </w:rPr>
        <w:t>Cosplay</w:t>
      </w:r>
      <w:r w:rsidRPr="0048791D">
        <w:rPr>
          <w:rFonts w:hint="eastAsia"/>
        </w:rPr>
        <w:t>角色扮演已成為時下年輕人流行的表演藝術，其性質逐漸發展成為新世代的藝術表演及產業，然我國政府目前並無負責的主管機關，文化部表示業務僅此於漫畫出版，衍生出的表演行為不在管轄內。爰此，為保障</w:t>
      </w:r>
      <w:r w:rsidRPr="0048791D">
        <w:rPr>
          <w:rFonts w:hint="eastAsia"/>
        </w:rPr>
        <w:t>Cosplay</w:t>
      </w:r>
      <w:r w:rsidRPr="0048791D">
        <w:rPr>
          <w:rFonts w:hint="eastAsia"/>
        </w:rPr>
        <w:t>角色扮演者應有的權益，文化部應製訂管理事項與協助辦法，本席要求行政院儘速研擬相關措施，特向行政院提出質詢。</w:t>
      </w:r>
    </w:p>
    <w:p w:rsidR="00F20D04" w:rsidRPr="00661828" w:rsidRDefault="00F20D04" w:rsidP="00F20D04">
      <w:pPr>
        <w:pStyle w:val="a4"/>
        <w:spacing w:line="240" w:lineRule="auto"/>
        <w:ind w:left="633" w:hanging="633"/>
      </w:pPr>
    </w:p>
    <w:p w:rsidR="00F20D04" w:rsidRDefault="00F20D04" w:rsidP="00F20D04">
      <w:pPr>
        <w:pStyle w:val="a4"/>
        <w:spacing w:line="380" w:lineRule="exact"/>
        <w:ind w:left="633" w:hanging="633"/>
      </w:pPr>
      <w:r>
        <w:rPr>
          <w:rFonts w:hint="eastAsia"/>
        </w:rPr>
        <w:t>說明：</w:t>
      </w:r>
    </w:p>
    <w:p w:rsidR="00F20D04" w:rsidRDefault="00F20D04" w:rsidP="00F20D04">
      <w:pPr>
        <w:pStyle w:val="afffff0"/>
        <w:spacing w:line="380" w:lineRule="exact"/>
        <w:ind w:left="633" w:hanging="422"/>
      </w:pPr>
      <w:r>
        <w:rPr>
          <w:rFonts w:hint="eastAsia"/>
        </w:rPr>
        <w:t>一、</w:t>
      </w:r>
      <w:r>
        <w:rPr>
          <w:rFonts w:hint="eastAsia"/>
        </w:rPr>
        <w:t>Cosplay</w:t>
      </w:r>
      <w:r>
        <w:rPr>
          <w:rFonts w:hint="eastAsia"/>
        </w:rPr>
        <w:t>角色扮演已成為時下年輕人流行的表演藝術，其表演者藉由扮演電影、遊戲及漫畫等角色。</w:t>
      </w:r>
      <w:r>
        <w:rPr>
          <w:rFonts w:hint="eastAsia"/>
        </w:rPr>
        <w:t>Cosplay</w:t>
      </w:r>
      <w:r>
        <w:rPr>
          <w:rFonts w:hint="eastAsia"/>
        </w:rPr>
        <w:t>的發展，已逐漸成為新的產業。</w:t>
      </w:r>
    </w:p>
    <w:p w:rsidR="00F20D04" w:rsidRDefault="00F20D04" w:rsidP="00F20D04">
      <w:pPr>
        <w:pStyle w:val="afffff0"/>
        <w:spacing w:line="380" w:lineRule="exact"/>
        <w:ind w:left="633" w:hanging="422"/>
      </w:pPr>
      <w:r>
        <w:rPr>
          <w:rFonts w:hint="eastAsia"/>
        </w:rPr>
        <w:t>二、我國政府目前並無明確管理</w:t>
      </w:r>
      <w:r>
        <w:rPr>
          <w:rFonts w:hint="eastAsia"/>
        </w:rPr>
        <w:t>Cosplay</w:t>
      </w:r>
      <w:r>
        <w:rPr>
          <w:rFonts w:hint="eastAsia"/>
        </w:rPr>
        <w:t>表演藝術的主管機關，具有相關性的文化部表示其負責的業務僅此於漫畫出版，爾後衍生出的表演行為不在管轄內。故</w:t>
      </w:r>
      <w:r>
        <w:rPr>
          <w:rFonts w:hint="eastAsia"/>
        </w:rPr>
        <w:t>Cosplay</w:t>
      </w:r>
      <w:r>
        <w:rPr>
          <w:rFonts w:hint="eastAsia"/>
        </w:rPr>
        <w:t>的藝術表演並無相關的規範與補助，無法保障參與者的權益。</w:t>
      </w:r>
    </w:p>
    <w:p w:rsidR="00F20D04" w:rsidRDefault="00F20D04" w:rsidP="00F20D04">
      <w:pPr>
        <w:pStyle w:val="afffff0"/>
        <w:spacing w:line="380" w:lineRule="exact"/>
        <w:ind w:left="633" w:hanging="422"/>
      </w:pPr>
      <w:r>
        <w:rPr>
          <w:rFonts w:hint="eastAsia"/>
        </w:rPr>
        <w:t>三、爰為為保障</w:t>
      </w:r>
      <w:r>
        <w:rPr>
          <w:rFonts w:hint="eastAsia"/>
        </w:rPr>
        <w:t>Cosplay</w:t>
      </w:r>
      <w:r>
        <w:rPr>
          <w:rFonts w:hint="eastAsia"/>
        </w:rPr>
        <w:t>角色扮演者應有的權益，文化部應製訂管理事項與協助辦法，本席要求行政院盡速研擬相關措施。</w:t>
      </w:r>
    </w:p>
    <w:p w:rsidR="00F20D04" w:rsidRPr="0048791D" w:rsidRDefault="00F20D04" w:rsidP="00F20D04">
      <w:pPr>
        <w:pStyle w:val="afb"/>
        <w:spacing w:beforeLines="100" w:before="335" w:line="420" w:lineRule="exact"/>
        <w:ind w:leftChars="0" w:left="855" w:hanging="855"/>
      </w:pPr>
      <w:r>
        <w:rPr>
          <w:rFonts w:hint="eastAsia"/>
        </w:rPr>
        <w:t>（二）</w:t>
      </w:r>
      <w:r w:rsidRPr="0048791D">
        <w:rPr>
          <w:rFonts w:hint="eastAsia"/>
        </w:rPr>
        <w:t>本院徐委員榛蔚，針對新政府自</w:t>
      </w:r>
      <w:r w:rsidRPr="0048791D">
        <w:rPr>
          <w:rFonts w:hint="eastAsia"/>
        </w:rPr>
        <w:t>520</w:t>
      </w:r>
      <w:r w:rsidRPr="0048791D">
        <w:rPr>
          <w:rFonts w:hint="eastAsia"/>
        </w:rPr>
        <w:t>上任來，各部會猶如飆車似地競相倉促宣布攸關重大民生，卻缺乏溝通配套措施的爭議決策，不但讓國人對政府喪失信賴感，同時也暴露出部會首長急欲建功而忽略國家利益、漠視人民權利以及缺乏內部縱向聯繫已招致民怨等問題，特向行政院提出質詢。</w:t>
      </w:r>
    </w:p>
    <w:p w:rsidR="00F20D04" w:rsidRPr="00661828" w:rsidRDefault="00F20D04" w:rsidP="00F20D04">
      <w:pPr>
        <w:pStyle w:val="a4"/>
        <w:spacing w:line="240" w:lineRule="auto"/>
        <w:ind w:left="633" w:hanging="633"/>
      </w:pPr>
    </w:p>
    <w:p w:rsidR="00F20D04" w:rsidRDefault="00F20D04" w:rsidP="00F20D04">
      <w:pPr>
        <w:pStyle w:val="a4"/>
        <w:spacing w:line="380" w:lineRule="exact"/>
        <w:ind w:left="633" w:hanging="633"/>
      </w:pPr>
      <w:r>
        <w:rPr>
          <w:rFonts w:hint="eastAsia"/>
        </w:rPr>
        <w:t>說明：</w:t>
      </w:r>
    </w:p>
    <w:p w:rsidR="00F20D04" w:rsidRDefault="00F20D04" w:rsidP="00F20D04">
      <w:pPr>
        <w:pStyle w:val="afffff0"/>
        <w:spacing w:line="380" w:lineRule="exact"/>
        <w:ind w:left="633" w:hanging="422"/>
      </w:pPr>
      <w:r>
        <w:rPr>
          <w:rFonts w:hint="eastAsia"/>
        </w:rPr>
        <w:t>一、為呼應蔡總統「演講結束就是改革的開始」，行政院各部會首長甫一上任，就競相宣布諸如取消端午節連假國道夜間免費、花東車票實名制、</w:t>
      </w:r>
      <w:r>
        <w:rPr>
          <w:rFonts w:hint="eastAsia"/>
        </w:rPr>
        <w:t>106</w:t>
      </w:r>
      <w:r>
        <w:rPr>
          <w:rFonts w:hint="eastAsia"/>
        </w:rPr>
        <w:t>年度十二年國教全面免試等，無一不讓國人聽到後大感愕然的重大政策。</w:t>
      </w:r>
    </w:p>
    <w:p w:rsidR="00F20D04" w:rsidRDefault="00F20D04" w:rsidP="00F20D04">
      <w:pPr>
        <w:pStyle w:val="afffff0"/>
        <w:spacing w:line="380" w:lineRule="exact"/>
        <w:ind w:left="633" w:hanging="422"/>
      </w:pPr>
      <w:r>
        <w:rPr>
          <w:rFonts w:hint="eastAsia"/>
        </w:rPr>
        <w:t>二、就以取消端午節連假國道夜間免費和花東車票實名制兩項交通政策為例，行政院林全院長當天上午才說取消連假國道夜間免費「應先由交通部做評估，現在談還言之過早」，結果交通部晚間就立即宣布取消。而花東火車票實名制也是類似的狀況，前晚才宣布憑</w:t>
      </w:r>
      <w:r>
        <w:rPr>
          <w:rFonts w:hint="eastAsia"/>
        </w:rPr>
        <w:t>U</w:t>
      </w:r>
      <w:r>
        <w:rPr>
          <w:rFonts w:hint="eastAsia"/>
        </w:rPr>
        <w:t>、</w:t>
      </w:r>
      <w:r>
        <w:rPr>
          <w:rFonts w:hint="eastAsia"/>
        </w:rPr>
        <w:t>V</w:t>
      </w:r>
      <w:r>
        <w:rPr>
          <w:rFonts w:hint="eastAsia"/>
        </w:rPr>
        <w:t>開頭的身分證明文件，採人工售票方式，詎料不到兩天又更改購票方式和規定。對於如此草率匆促上路的政策，不但朝令夕改，而且都未妥善慮及國道用路人和長期設籍或在花東工作居民的權益，也讓國人無所適從。</w:t>
      </w:r>
    </w:p>
    <w:p w:rsidR="00F20D04" w:rsidRDefault="00F20D04" w:rsidP="00F20D04">
      <w:pPr>
        <w:pStyle w:val="afffff0"/>
        <w:spacing w:line="380" w:lineRule="exact"/>
        <w:ind w:left="633" w:hanging="422"/>
      </w:pPr>
      <w:r>
        <w:rPr>
          <w:rFonts w:hint="eastAsia"/>
        </w:rPr>
        <w:lastRenderedPageBreak/>
        <w:t>三、尤有甚者，教育部突然宣布明年十二年國教全面免試將在花東及離島地區試辦，但事前地方教育局處卻毫無所悉，因此沒有跟地方家長舉辦座談溝通說明，甚至連事後詢問教育部，居然連具體的計畫、時程、實施方式及未來地方的溝通規劃都一問三不知，這種急就章式的政策怎能不引起民怨？</w:t>
      </w:r>
    </w:p>
    <w:p w:rsidR="00F20D04" w:rsidRDefault="00F20D04" w:rsidP="00F20D04">
      <w:pPr>
        <w:pStyle w:val="afffff0"/>
        <w:spacing w:line="380" w:lineRule="exact"/>
        <w:ind w:left="633" w:hanging="422"/>
      </w:pPr>
      <w:r>
        <w:rPr>
          <w:rFonts w:hint="eastAsia"/>
        </w:rPr>
        <w:t>四、針對這些驟然宣布的重大民生決策，或許是為了要建立新政府勇於改革的形象，但卻在未先與地方溝通而且也無提出相關配套措施的狀況下，已經讓國人未蒙其利反受其害，因此請相關部會應就政策先充分溝通思考後再行宣布為當。</w:t>
      </w:r>
    </w:p>
    <w:p w:rsidR="00F20D04" w:rsidRPr="0048791D" w:rsidRDefault="00F20D04" w:rsidP="00F20D04">
      <w:pPr>
        <w:pStyle w:val="afb"/>
        <w:spacing w:beforeLines="100" w:before="335" w:line="420" w:lineRule="exact"/>
        <w:ind w:leftChars="0" w:left="855" w:hanging="855"/>
      </w:pPr>
      <w:r>
        <w:rPr>
          <w:rFonts w:hint="eastAsia"/>
        </w:rPr>
        <w:t>（三）</w:t>
      </w:r>
      <w:r w:rsidRPr="0048791D">
        <w:rPr>
          <w:rFonts w:hint="eastAsia"/>
        </w:rPr>
        <w:t>本院張廖委員萬堅，鑒於基於建立完整中醫師臨床訓練制度</w:t>
      </w:r>
      <w:r>
        <w:rPr>
          <w:rFonts w:hint="eastAsia"/>
        </w:rPr>
        <w:t>，</w:t>
      </w:r>
      <w:r w:rsidRPr="0048791D">
        <w:rPr>
          <w:rFonts w:hint="eastAsia"/>
        </w:rPr>
        <w:t>衛生福利部設有「中醫醫療機構負責醫師訓練計畫」，惟該計畫不夠周延，自民國一百零三年實施迄今，新進中醫師受訓率不到七成、二百四十六位中醫師無法獲得受訓，反而造成中醫師薪資與人力條件下降，爰此，要求主管機關應立即檢討「中醫醫療機構負責醫師訓練計畫」之獨佔認定資格，參照牙醫之一般醫學訓練（</w:t>
      </w:r>
      <w:r w:rsidRPr="0048791D">
        <w:rPr>
          <w:rFonts w:hint="eastAsia"/>
        </w:rPr>
        <w:t>PGY</w:t>
      </w:r>
      <w:r w:rsidRPr="0048791D">
        <w:rPr>
          <w:rFonts w:hint="eastAsia"/>
        </w:rPr>
        <w:t>）制度認定訓練機構，特向行政院提出質詢。</w:t>
      </w:r>
    </w:p>
    <w:p w:rsidR="00F20D04" w:rsidRPr="00A146F2" w:rsidRDefault="00F20D04" w:rsidP="00F20D04">
      <w:pPr>
        <w:pStyle w:val="a4"/>
        <w:spacing w:line="240" w:lineRule="auto"/>
        <w:ind w:left="633" w:hanging="633"/>
      </w:pPr>
    </w:p>
    <w:p w:rsidR="00F20D04" w:rsidRDefault="00F20D04" w:rsidP="00F20D04">
      <w:pPr>
        <w:pStyle w:val="a4"/>
        <w:spacing w:line="380" w:lineRule="exact"/>
        <w:ind w:left="633" w:hanging="633"/>
      </w:pPr>
      <w:r>
        <w:rPr>
          <w:rFonts w:hint="eastAsia"/>
        </w:rPr>
        <w:t>說明：</w:t>
      </w:r>
    </w:p>
    <w:p w:rsidR="00F20D04" w:rsidRDefault="00F20D04" w:rsidP="00F20D04">
      <w:pPr>
        <w:pStyle w:val="afffff0"/>
        <w:spacing w:line="380" w:lineRule="exact"/>
        <w:ind w:left="633" w:hanging="422"/>
      </w:pPr>
      <w:r>
        <w:rPr>
          <w:rFonts w:hint="eastAsia"/>
        </w:rPr>
        <w:t>一、基於建立完整中醫師臨床訓練制度，衛生福利部設有「中醫醫療機構負責醫師訓練計畫」，並自民國</w:t>
      </w:r>
      <w:r>
        <w:rPr>
          <w:rFonts w:hint="eastAsia"/>
        </w:rPr>
        <w:t>103</w:t>
      </w:r>
      <w:r>
        <w:rPr>
          <w:rFonts w:hint="eastAsia"/>
        </w:rPr>
        <w:t>年開始實施。惟根據衛福部關於民國</w:t>
      </w:r>
      <w:r>
        <w:rPr>
          <w:rFonts w:hint="eastAsia"/>
        </w:rPr>
        <w:t>103</w:t>
      </w:r>
      <w:r>
        <w:rPr>
          <w:rFonts w:hint="eastAsia"/>
        </w:rPr>
        <w:t>、</w:t>
      </w:r>
      <w:r>
        <w:rPr>
          <w:rFonts w:hint="eastAsia"/>
        </w:rPr>
        <w:t>104</w:t>
      </w:r>
      <w:r>
        <w:rPr>
          <w:rFonts w:hint="eastAsia"/>
        </w:rPr>
        <w:t>年統計資料顯示：民國</w:t>
      </w:r>
      <w:r>
        <w:rPr>
          <w:rFonts w:hint="eastAsia"/>
        </w:rPr>
        <w:t>103</w:t>
      </w:r>
      <w:r>
        <w:rPr>
          <w:rFonts w:hint="eastAsia"/>
        </w:rPr>
        <w:t>年新進中醫師</w:t>
      </w:r>
      <w:r>
        <w:rPr>
          <w:rFonts w:hint="eastAsia"/>
        </w:rPr>
        <w:t>288</w:t>
      </w:r>
      <w:r>
        <w:rPr>
          <w:rFonts w:hint="eastAsia"/>
        </w:rPr>
        <w:t>人、受訓</w:t>
      </w:r>
      <w:r>
        <w:rPr>
          <w:rFonts w:hint="eastAsia"/>
        </w:rPr>
        <w:t>136</w:t>
      </w:r>
      <w:r>
        <w:rPr>
          <w:rFonts w:hint="eastAsia"/>
        </w:rPr>
        <w:t>人，受訓率</w:t>
      </w:r>
      <w:r>
        <w:rPr>
          <w:rFonts w:hint="eastAsia"/>
        </w:rPr>
        <w:t>47%</w:t>
      </w:r>
      <w:r>
        <w:rPr>
          <w:rFonts w:hint="eastAsia"/>
        </w:rPr>
        <w:t>；民國</w:t>
      </w:r>
      <w:r>
        <w:rPr>
          <w:rFonts w:hint="eastAsia"/>
        </w:rPr>
        <w:t>104</w:t>
      </w:r>
      <w:r>
        <w:rPr>
          <w:rFonts w:hint="eastAsia"/>
        </w:rPr>
        <w:t>年新進中醫師</w:t>
      </w:r>
      <w:r>
        <w:rPr>
          <w:rFonts w:hint="eastAsia"/>
        </w:rPr>
        <w:t>282</w:t>
      </w:r>
      <w:r>
        <w:rPr>
          <w:rFonts w:hint="eastAsia"/>
        </w:rPr>
        <w:t>人、受訓</w:t>
      </w:r>
      <w:r>
        <w:rPr>
          <w:rFonts w:hint="eastAsia"/>
        </w:rPr>
        <w:t>188</w:t>
      </w:r>
      <w:r>
        <w:rPr>
          <w:rFonts w:hint="eastAsia"/>
        </w:rPr>
        <w:t>人，受訓率</w:t>
      </w:r>
      <w:r>
        <w:rPr>
          <w:rFonts w:hint="eastAsia"/>
        </w:rPr>
        <w:t>67%</w:t>
      </w:r>
      <w:r>
        <w:rPr>
          <w:rFonts w:hint="eastAsia"/>
        </w:rPr>
        <w:t>。由此可知，未能受訓中醫師兩年已累計</w:t>
      </w:r>
      <w:r>
        <w:rPr>
          <w:rFonts w:hint="eastAsia"/>
        </w:rPr>
        <w:t>246</w:t>
      </w:r>
      <w:r>
        <w:rPr>
          <w:rFonts w:hint="eastAsia"/>
        </w:rPr>
        <w:t>人。每位新進中醫師養成需投注大量時間與龐大經費，卻因衛生福利部之「中醫醫療機構負責醫師訓練計畫」不夠周延，造成無法獲得受訓新進中醫師可能需要流浪至各醫療機構、甚至遭受剝削，傷害中醫養成制度，也絕非全民之福。</w:t>
      </w:r>
    </w:p>
    <w:p w:rsidR="00F20D04" w:rsidRDefault="00F20D04" w:rsidP="00F20D04">
      <w:pPr>
        <w:pStyle w:val="afffff0"/>
        <w:spacing w:line="380" w:lineRule="exact"/>
        <w:ind w:left="633" w:hanging="422"/>
      </w:pPr>
      <w:r>
        <w:rPr>
          <w:rFonts w:hint="eastAsia"/>
        </w:rPr>
        <w:t>二、前述之「中醫醫療機構負責醫師訓練計畫」，其規畫</w:t>
      </w:r>
      <w:r>
        <w:rPr>
          <w:rFonts w:hint="eastAsia"/>
        </w:rPr>
        <w:t>154</w:t>
      </w:r>
      <w:r>
        <w:rPr>
          <w:rFonts w:hint="eastAsia"/>
        </w:rPr>
        <w:t>位合格訓練指導醫師，每位可訓練</w:t>
      </w:r>
      <w:r>
        <w:rPr>
          <w:rFonts w:hint="eastAsia"/>
        </w:rPr>
        <w:t>4</w:t>
      </w:r>
      <w:r>
        <w:rPr>
          <w:rFonts w:hint="eastAsia"/>
        </w:rPr>
        <w:t>名，總共訓練名額</w:t>
      </w:r>
      <w:r>
        <w:rPr>
          <w:rFonts w:hint="eastAsia"/>
        </w:rPr>
        <w:t>616</w:t>
      </w:r>
      <w:r>
        <w:rPr>
          <w:rFonts w:hint="eastAsia"/>
        </w:rPr>
        <w:t>名，但</w:t>
      </w:r>
      <w:r>
        <w:rPr>
          <w:rFonts w:hint="eastAsia"/>
        </w:rPr>
        <w:t>100</w:t>
      </w:r>
      <w:r>
        <w:rPr>
          <w:rFonts w:hint="eastAsia"/>
        </w:rPr>
        <w:t>年實際招收住院醫師僅</w:t>
      </w:r>
      <w:r>
        <w:rPr>
          <w:rFonts w:hint="eastAsia"/>
        </w:rPr>
        <w:t>90</w:t>
      </w:r>
      <w:r>
        <w:rPr>
          <w:rFonts w:hint="eastAsia"/>
        </w:rPr>
        <w:t>名，</w:t>
      </w:r>
      <w:r>
        <w:rPr>
          <w:rFonts w:hint="eastAsia"/>
        </w:rPr>
        <w:t>103</w:t>
      </w:r>
      <w:r>
        <w:rPr>
          <w:rFonts w:hint="eastAsia"/>
        </w:rPr>
        <w:t>年多數新進醫師根本無法進入醫院接受訓練。相較於西醫訓練通常為</w:t>
      </w:r>
      <w:r>
        <w:rPr>
          <w:rFonts w:hint="eastAsia"/>
        </w:rPr>
        <w:t>4</w:t>
      </w:r>
      <w:r>
        <w:rPr>
          <w:rFonts w:hint="eastAsia"/>
        </w:rPr>
        <w:t>名專科醫師，每年招訓</w:t>
      </w:r>
      <w:r>
        <w:rPr>
          <w:rFonts w:hint="eastAsia"/>
        </w:rPr>
        <w:t>1</w:t>
      </w:r>
      <w:r>
        <w:rPr>
          <w:rFonts w:hint="eastAsia"/>
        </w:rPr>
        <w:t>名住院醫師，訓練四年，平均</w:t>
      </w:r>
      <w:r>
        <w:rPr>
          <w:rFonts w:hint="eastAsia"/>
        </w:rPr>
        <w:t>1</w:t>
      </w:r>
      <w:r>
        <w:rPr>
          <w:rFonts w:hint="eastAsia"/>
        </w:rPr>
        <w:t>專科醫師帶</w:t>
      </w:r>
      <w:r>
        <w:rPr>
          <w:rFonts w:hint="eastAsia"/>
        </w:rPr>
        <w:t>1</w:t>
      </w:r>
      <w:r>
        <w:rPr>
          <w:rFonts w:hint="eastAsia"/>
        </w:rPr>
        <w:t>名住院醫師才能達到訓練效果，但中醫卻規劃</w:t>
      </w:r>
      <w:r>
        <w:rPr>
          <w:rFonts w:hint="eastAsia"/>
        </w:rPr>
        <w:t>1</w:t>
      </w:r>
      <w:r>
        <w:rPr>
          <w:rFonts w:hint="eastAsia"/>
        </w:rPr>
        <w:t>人帶</w:t>
      </w:r>
      <w:r>
        <w:rPr>
          <w:rFonts w:hint="eastAsia"/>
        </w:rPr>
        <w:t>4</w:t>
      </w:r>
      <w:r>
        <w:rPr>
          <w:rFonts w:hint="eastAsia"/>
        </w:rPr>
        <w:t>名，如此規劃顯然無法提升中醫專業水準。</w:t>
      </w:r>
    </w:p>
    <w:p w:rsidR="00F20D04" w:rsidRDefault="00F20D04" w:rsidP="00F20D04">
      <w:pPr>
        <w:pStyle w:val="afffff0"/>
        <w:spacing w:line="380" w:lineRule="exact"/>
        <w:ind w:left="633" w:hanging="422"/>
      </w:pPr>
      <w:r>
        <w:rPr>
          <w:rFonts w:hint="eastAsia"/>
        </w:rPr>
        <w:t>三、綜上，要求主管機關應立即檢討「中醫醫療機構負責醫師訓練計畫」之獨佔認定資格，參照牙醫之一般醫學訓練（</w:t>
      </w:r>
      <w:r>
        <w:rPr>
          <w:rFonts w:hint="eastAsia"/>
        </w:rPr>
        <w:t>PGY</w:t>
      </w:r>
      <w:r>
        <w:rPr>
          <w:rFonts w:hint="eastAsia"/>
        </w:rPr>
        <w:t>）制度認定訓練機構，在中醫</w:t>
      </w:r>
      <w:r>
        <w:rPr>
          <w:rFonts w:hint="eastAsia"/>
        </w:rPr>
        <w:t>PGY</w:t>
      </w:r>
      <w:r>
        <w:rPr>
          <w:rFonts w:hint="eastAsia"/>
        </w:rPr>
        <w:t>制度實施前，負責醫師資格取得回歸</w:t>
      </w:r>
      <w:r>
        <w:rPr>
          <w:rFonts w:hint="eastAsia"/>
        </w:rPr>
        <w:t>103</w:t>
      </w:r>
      <w:r>
        <w:rPr>
          <w:rFonts w:hint="eastAsia"/>
        </w:rPr>
        <w:t>年前之規定。</w:t>
      </w:r>
    </w:p>
    <w:p w:rsidR="00F20D04" w:rsidRPr="0048791D" w:rsidRDefault="00F20D04" w:rsidP="00F20D04">
      <w:pPr>
        <w:pStyle w:val="afb"/>
        <w:spacing w:beforeLines="100" w:before="335" w:line="420" w:lineRule="exact"/>
        <w:ind w:leftChars="0" w:left="855" w:hanging="855"/>
      </w:pPr>
      <w:r>
        <w:rPr>
          <w:rFonts w:hint="eastAsia"/>
        </w:rPr>
        <w:t>（四）</w:t>
      </w:r>
      <w:r w:rsidRPr="0048791D">
        <w:rPr>
          <w:rFonts w:hint="eastAsia"/>
        </w:rPr>
        <w:t>本院許委員淑華，鑑於有關大學退場機制，新教長提出兩項措施</w:t>
      </w:r>
      <w:r w:rsidRPr="0048791D">
        <w:rPr>
          <w:rFonts w:hint="eastAsia"/>
        </w:rPr>
        <w:lastRenderedPageBreak/>
        <w:t>，一是私校退場後的校產須公用，絕不讓私校董事會從中謀取任何私利，二是設置</w:t>
      </w:r>
      <w:r w:rsidRPr="0048791D">
        <w:rPr>
          <w:rFonts w:hint="eastAsia"/>
        </w:rPr>
        <w:t>50</w:t>
      </w:r>
      <w:r w:rsidRPr="0048791D">
        <w:rPr>
          <w:rFonts w:hint="eastAsia"/>
        </w:rPr>
        <w:t>億元基金，處理大學退場後，如何活化學校資產，同時解決師資面臨失業的問題。但這在可行性上有待商榷，最好還是由教長召集各大學校長及有招生危機的私校董事長共同會商合理的作法。高等教育應朝自由化和鬆綁處理，給大學足夠的彈性，大家都可以找到生存的方法。否則教育部規畫得愈多，大學可以做的事愈少，在少子化浪潮之下，對高教發展不是好事，爰此特向行政院提出質詢。</w:t>
      </w:r>
    </w:p>
    <w:p w:rsidR="00F20D04" w:rsidRPr="00A146F2" w:rsidRDefault="00F20D04" w:rsidP="00F20D04">
      <w:pPr>
        <w:pStyle w:val="a4"/>
        <w:spacing w:line="240" w:lineRule="auto"/>
        <w:ind w:left="633" w:hanging="633"/>
      </w:pPr>
    </w:p>
    <w:p w:rsidR="00F20D04" w:rsidRDefault="00F20D04" w:rsidP="00F20D04">
      <w:pPr>
        <w:pStyle w:val="a4"/>
        <w:spacing w:line="380" w:lineRule="exact"/>
        <w:ind w:left="633" w:hanging="633"/>
      </w:pPr>
      <w:r>
        <w:rPr>
          <w:rFonts w:hint="eastAsia"/>
        </w:rPr>
        <w:t>說明：</w:t>
      </w:r>
    </w:p>
    <w:p w:rsidR="00F20D04" w:rsidRDefault="00F20D04" w:rsidP="00F20D04">
      <w:pPr>
        <w:pStyle w:val="afffff0"/>
        <w:spacing w:line="380" w:lineRule="exact"/>
        <w:ind w:left="633" w:hanging="422"/>
      </w:pPr>
      <w:r>
        <w:rPr>
          <w:rFonts w:hint="eastAsia"/>
        </w:rPr>
        <w:t>一、少子化造成大學必須退場，退場時其他大學會搶著要學生，老師、職員須資遣或轉介，但最麻煩的就是校產的處理。如果校產必須歸公，請問哪個董事會還會拿錢出來資遣老師和職員？還是國家的</w:t>
      </w:r>
      <w:r>
        <w:rPr>
          <w:rFonts w:hint="eastAsia"/>
        </w:rPr>
        <w:t>50</w:t>
      </w:r>
      <w:r>
        <w:rPr>
          <w:rFonts w:hint="eastAsia"/>
        </w:rPr>
        <w:t>億元要用來資遣？如果校產能夠彈性拍賣，拍賣所得一部分拿來資遣老師，一部分納入教育部成立的大學退場基金，一部分視當初大學設立時的投資狀況退還給董事，這樣或許大學還比較有可能主動退場。否則私校董事會沒有退場誘因，一定能拖就拖，拖不了就雙手一攤丟給教育部處理。</w:t>
      </w:r>
    </w:p>
    <w:p w:rsidR="00F20D04" w:rsidRDefault="00F20D04" w:rsidP="00F20D04">
      <w:pPr>
        <w:pStyle w:val="afffff0"/>
        <w:spacing w:line="380" w:lineRule="exact"/>
        <w:ind w:left="633" w:hanging="422"/>
      </w:pPr>
      <w:r>
        <w:rPr>
          <w:rFonts w:hint="eastAsia"/>
        </w:rPr>
        <w:t>二、原訂明年上路的</w:t>
      </w:r>
      <w:r>
        <w:rPr>
          <w:rFonts w:hint="eastAsia"/>
        </w:rPr>
        <w:t>5</w:t>
      </w:r>
      <w:r>
        <w:rPr>
          <w:rFonts w:hint="eastAsia"/>
        </w:rPr>
        <w:t>年</w:t>
      </w:r>
      <w:r>
        <w:rPr>
          <w:rFonts w:hint="eastAsia"/>
        </w:rPr>
        <w:t>1,000</w:t>
      </w:r>
      <w:r>
        <w:rPr>
          <w:rFonts w:hint="eastAsia"/>
        </w:rPr>
        <w:t>億元的新世代高教藍圖計畫，新教長決定緩議</w:t>
      </w:r>
      <w:r>
        <w:rPr>
          <w:rFonts w:hint="eastAsia"/>
        </w:rPr>
        <w:t>1</w:t>
      </w:r>
      <w:r>
        <w:rPr>
          <w:rFonts w:hint="eastAsia"/>
        </w:rPr>
        <w:t>年。這項計畫再好好考慮是對的，我們國家還需要靠錢堆砌來讓大學增胖進世界百大嗎？國內大學不夠卓越的很大關鍵是制度因素，例如組織架構、聘人任用、系所增減等都受到管制。而教師不管貢獻如何都同酬，壞老師去不了，好老師無法鼓勵。最後是大學制度充滿教授治校的利益衝突問題，例如評鑑教師或教師升等的辦法要校務會議通過，校務會議的老師會訂定對自己很嚴格的制度嗎？</w:t>
      </w:r>
    </w:p>
    <w:p w:rsidR="00F20D04" w:rsidRDefault="00F20D04" w:rsidP="00F20D04">
      <w:pPr>
        <w:pStyle w:val="afffff0"/>
        <w:spacing w:line="380" w:lineRule="exact"/>
        <w:ind w:left="633" w:hanging="422"/>
      </w:pPr>
      <w:r>
        <w:rPr>
          <w:rFonts w:hint="eastAsia"/>
        </w:rPr>
        <w:t>三、教育部應根據當年的入學人口來核定招生人數，教育部現在的政策和現況將所有學生人口都趕入大學，造成大學生畢業後也毫無大學生的實力。更重要的是要逐漸調整公立大學學雜費至私立大學的水準，讓公私立大學公平競爭，教育促進的階級流動也才能實現。</w:t>
      </w:r>
    </w:p>
    <w:p w:rsidR="00F20D04" w:rsidRPr="0048791D" w:rsidRDefault="00F20D04" w:rsidP="00F20D04">
      <w:pPr>
        <w:pStyle w:val="afb"/>
        <w:spacing w:beforeLines="100" w:before="335" w:line="420" w:lineRule="exact"/>
        <w:ind w:leftChars="0" w:left="855" w:hanging="855"/>
      </w:pPr>
      <w:r>
        <w:rPr>
          <w:rFonts w:hint="eastAsia"/>
        </w:rPr>
        <w:t>（五）</w:t>
      </w:r>
      <w:r w:rsidRPr="0048791D">
        <w:rPr>
          <w:rFonts w:hint="eastAsia"/>
        </w:rPr>
        <w:t>本院許委員淑華，鑑於教育部長甫上任就宣布將儘快達成高中職「全面免試、就近入學」方案，包括擴大高中職優先免試、鼓勵就學區或縣市試辦全面免試入學，及採計國中生在校成績，推動「類繁星計畫」等，引起教育團體強烈反彈。就政策的推動程序來看，教育部在完全沒有跟社會溝通的情況下，也沒有提出相關的配套措施或說明，就貿然宣布改革，且考試入學或許不是最好的制度，但卻是公平的制度，捨棄公平的制度將使弱勢家庭的學</w:t>
      </w:r>
      <w:r w:rsidRPr="0048791D">
        <w:rPr>
          <w:rFonts w:hint="eastAsia"/>
        </w:rPr>
        <w:lastRenderedPageBreak/>
        <w:t>生競爭力降低，且出現連鎖反應，教育部應考量弱勢家庭學子就學權益，爰此特向行政院提出質詢。</w:t>
      </w:r>
    </w:p>
    <w:p w:rsidR="00F20D04" w:rsidRPr="00A17F2D" w:rsidRDefault="00F20D04" w:rsidP="00F20D04">
      <w:pPr>
        <w:pStyle w:val="a4"/>
        <w:spacing w:line="240" w:lineRule="auto"/>
        <w:ind w:left="633" w:hanging="633"/>
      </w:pPr>
    </w:p>
    <w:p w:rsidR="00F20D04" w:rsidRDefault="00F20D04" w:rsidP="00F20D04">
      <w:pPr>
        <w:pStyle w:val="a4"/>
        <w:spacing w:line="380" w:lineRule="exact"/>
        <w:ind w:left="633" w:hanging="633"/>
      </w:pPr>
      <w:r>
        <w:rPr>
          <w:rFonts w:hint="eastAsia"/>
        </w:rPr>
        <w:t>說明：</w:t>
      </w:r>
    </w:p>
    <w:p w:rsidR="00F20D04" w:rsidRDefault="00F20D04" w:rsidP="00F20D04">
      <w:pPr>
        <w:pStyle w:val="afffff0"/>
        <w:spacing w:line="380" w:lineRule="exact"/>
        <w:ind w:left="633" w:hanging="422"/>
      </w:pPr>
      <w:r>
        <w:rPr>
          <w:rFonts w:hint="eastAsia"/>
        </w:rPr>
        <w:t>一、全面免試的主要疑慮，在於它的「公平」性如何確保問題。在台灣雖然很多人在批評考試，所帶來的負面影響；但考試制度所提供的公平性，卻是一般人所認同的。很多的教育改革方案，就是公平性受到質疑，而無法被社會大眾所接受。這一次教育部所作的宣示，依然對公平性沒有任何的說明，或提出任何的相關配套措施，難怪會引起社會的反彈。</w:t>
      </w:r>
    </w:p>
    <w:p w:rsidR="00F20D04" w:rsidRDefault="00F20D04" w:rsidP="00F20D04">
      <w:pPr>
        <w:pStyle w:val="afffff0"/>
        <w:spacing w:line="380" w:lineRule="exact"/>
        <w:ind w:left="633" w:hanging="422"/>
      </w:pPr>
      <w:r>
        <w:rPr>
          <w:rFonts w:hint="eastAsia"/>
        </w:rPr>
        <w:t>二、在全面免試入學的環境下，除非同額或採用抽籤方式來分發學校，否則不同學校間的特色、受喜好程度仍會有所差異。當有比較多的學生，同時選上某一所學校時，如何決定入學者的優先次序，它的公平性不被吵翻天才怪。如果以採計國中在校成績，或推動「類繁星計畫」來做為依據，新制度雖然是稱為免試入學，但學生在校每次的成績都會被列入評比，會讓學生對每次的大小考，都要更斤斤計較，反而加重學生負擔，與改革要減輕學生課業負擔的目標背道而馳。</w:t>
      </w:r>
    </w:p>
    <w:p w:rsidR="00F20D04" w:rsidRDefault="00F20D04" w:rsidP="00F20D04">
      <w:pPr>
        <w:pStyle w:val="afffff0"/>
        <w:spacing w:line="380" w:lineRule="exact"/>
        <w:ind w:left="633" w:hanging="422"/>
      </w:pPr>
      <w:r>
        <w:rPr>
          <w:rFonts w:hint="eastAsia"/>
        </w:rPr>
        <w:t>三、其次對就近入學來看，教育部擬將全國劃分為十五個學區，要求學生就近在自己住家附近的學校就讀，則無異是剝奪了學生自己選擇的權利，而僅遷就於地緣上的因素考慮，違反了人權的自由。加上各個學區之間現有的高中職數量、品質不一，勢必造成好學區的房地產價格飆漲，家境較好的家庭或許有能力，可以負擔得起較高房價，而遷入好學區就讀；而經濟較為弱勢家庭的小孩，則只能在較差學區的學校念書，無形中會加劇台灣的貧富差距影響，減少教育翻轉社會階層流動的可能性。</w:t>
      </w:r>
    </w:p>
    <w:p w:rsidR="00F20D04" w:rsidRDefault="00F20D04" w:rsidP="00F20D04">
      <w:pPr>
        <w:pStyle w:val="afffff0"/>
        <w:spacing w:line="380" w:lineRule="exact"/>
        <w:ind w:left="633" w:hanging="422"/>
      </w:pPr>
      <w:r>
        <w:rPr>
          <w:rFonts w:hint="eastAsia"/>
        </w:rPr>
        <w:t>四、或許有人認為改制九年國教時，小學畢業都可以直升國中；改革為十二年國教應該也可以比照辦理，國中畢業直升高中職。這完全是沒有考慮到國中與高中職的性質是截然不同的想法；國中階段是採用小學區制度，而高中職階段則是大學區制度，小學區內學校的競爭不大，但大學區內的學校競爭就較大。且國中與高中兩階段的性質也不一樣，依教育部的統計資料，國中約有七二○所，九成以上是公立學校；國內高中、職有五○六校，公立二九五校、私立二一一校；要高中職比照國中，同樣依學區辦理免試入學，執行上有一定困難。</w:t>
      </w:r>
    </w:p>
    <w:p w:rsidR="00F20D04" w:rsidRDefault="00F20D04" w:rsidP="00F20D04">
      <w:pPr>
        <w:pStyle w:val="afffff0"/>
        <w:spacing w:line="380" w:lineRule="exact"/>
        <w:ind w:left="633" w:hanging="422"/>
      </w:pPr>
      <w:r>
        <w:rPr>
          <w:rFonts w:hint="eastAsia"/>
        </w:rPr>
        <w:t>五、最後就政策的推動程序來看，教育部在完全沒有跟社會溝通的情況下，也沒有提出相關的配套措施或說明，就貿然的在新政府上台之際，宣布這麼重大的教育改革消息，實為不妥。</w:t>
      </w:r>
    </w:p>
    <w:p w:rsidR="00F20D04" w:rsidRPr="0048791D" w:rsidRDefault="00F20D04" w:rsidP="00F20D04">
      <w:pPr>
        <w:pStyle w:val="afb"/>
        <w:spacing w:beforeLines="100" w:before="335" w:line="420" w:lineRule="exact"/>
        <w:ind w:leftChars="0" w:left="855" w:hanging="855"/>
      </w:pPr>
      <w:r>
        <w:rPr>
          <w:rFonts w:hint="eastAsia"/>
        </w:rPr>
        <w:t>（六）</w:t>
      </w:r>
      <w:r w:rsidRPr="0048791D">
        <w:rPr>
          <w:rFonts w:hint="eastAsia"/>
        </w:rPr>
        <w:t>本院許委員淑華，鑑於近年來台灣的食安問題，始終是一個備受關注的話題。台灣現行法規對逾期食物既未詳加規範，對通路商亦無課以溯源管理要求，端午節將至，如何避免過期食品與材料</w:t>
      </w:r>
      <w:r w:rsidRPr="0048791D">
        <w:rPr>
          <w:rFonts w:hint="eastAsia"/>
        </w:rPr>
        <w:lastRenderedPageBreak/>
        <w:t>重新包裝、更改標籤之後再上市，進而讓國人可以吃得更加安心，應該是新政府上台之後首要面對的課題，且相關單位應就國內食品原料過期管理，通路商逾期食品管理、食品商或食品工廠的逾期原料管理、熟食或即食食品逾期管理等問題擬定對策，以免不肖商人藉此謀利，危害民眾健康，爰此特向行政院提出質詢。</w:t>
      </w:r>
    </w:p>
    <w:p w:rsidR="00F20D04" w:rsidRPr="00A17F2D" w:rsidRDefault="00F20D04" w:rsidP="00A75D4B">
      <w:pPr>
        <w:pStyle w:val="a4"/>
        <w:spacing w:line="390" w:lineRule="exact"/>
        <w:ind w:left="633" w:hanging="633"/>
      </w:pPr>
    </w:p>
    <w:p w:rsidR="00F20D04" w:rsidRDefault="00F20D04" w:rsidP="00A75D4B">
      <w:pPr>
        <w:pStyle w:val="a4"/>
        <w:spacing w:line="390" w:lineRule="exact"/>
        <w:ind w:left="633" w:hanging="633"/>
      </w:pPr>
      <w:r>
        <w:rPr>
          <w:rFonts w:hint="eastAsia"/>
        </w:rPr>
        <w:t>說明：</w:t>
      </w:r>
    </w:p>
    <w:p w:rsidR="00F20D04" w:rsidRDefault="00F20D04" w:rsidP="00A75D4B">
      <w:pPr>
        <w:pStyle w:val="afffff0"/>
        <w:spacing w:line="390" w:lineRule="exact"/>
        <w:ind w:left="633" w:hanging="422"/>
      </w:pPr>
      <w:r>
        <w:rPr>
          <w:rFonts w:hint="eastAsia"/>
        </w:rPr>
        <w:t>一、食藥署、台中市地檢署、保七總隊，以及台中市衛生局，五月十七日共同查獲台中雄勳公司涉嫌竄改標籤有效期，以及違法囤積、使用逾期食品原物料。報導說，被封存數量逾一百項以上、總重逾二十二公噸；問題產品主要銷售至大潤發、家樂福，以及愛買等通路；有部分黑心豆漿粉流入旺來興公司，對象為一般散客，已全數販售完畢無庫存。</w:t>
      </w:r>
    </w:p>
    <w:p w:rsidR="00F20D04" w:rsidRDefault="00F20D04" w:rsidP="00A75D4B">
      <w:pPr>
        <w:pStyle w:val="afffff0"/>
        <w:spacing w:line="390" w:lineRule="exact"/>
        <w:ind w:left="633" w:hanging="422"/>
      </w:pPr>
      <w:r>
        <w:rPr>
          <w:rFonts w:hint="eastAsia"/>
        </w:rPr>
        <w:t>二、同一時間，新北市漁洋國際有限公司被查獲涉嫌從一○三年起，竄改延長冷凍鯛魚片、鯖魚片、軟絲、草蝦、蛤等高單價海鮮食品的保存期限一年，甚至還被發現過期十年的冷凍蝦子。向其進貨的北台灣數十家餐廳、熱炒店，甚至福華、國賓飯店都受害。而今年一月，食藥署與屏東縣、高雄市衛生局共同查獲典味公司逾期太空鴨、冷凍雞腿等七十二噸；福宥公司則坦承出貨逾期太空鴨予典味公司，而這些過期食品都賣給全國九縣市的小吃店、薑母鴨店。根據了解，類似這些危及食安的案件，都是公司離職員工看不下去，把錄影事證提供衛生局才查獲，根據各縣市修正食安檢舉獎勵辦法，若市府裁罰這些公司最高額兩億元，檢舉人又符合檢舉獎勵資格，最高可獲一億元獎金。</w:t>
      </w:r>
    </w:p>
    <w:p w:rsidR="00F20D04" w:rsidRDefault="00F20D04" w:rsidP="00A75D4B">
      <w:pPr>
        <w:pStyle w:val="afffff0"/>
        <w:spacing w:line="390" w:lineRule="exact"/>
        <w:ind w:left="633" w:hanging="422"/>
      </w:pPr>
      <w:r>
        <w:rPr>
          <w:rFonts w:hint="eastAsia"/>
        </w:rPr>
        <w:t>三、所謂「殺頭生意有人做，賠錢生意沒人做」。過去經驗顯示，台灣食品業只要有利可圖，業者就鋌而走險，以身試法者比比皆是。依法，逾期食品得視為廢棄物處理，不可重製或再度販售。然而，以國內通路商每年丟棄約</w:t>
      </w:r>
      <w:r>
        <w:rPr>
          <w:rFonts w:hint="eastAsia"/>
        </w:rPr>
        <w:t>3.6</w:t>
      </w:r>
      <w:r>
        <w:rPr>
          <w:rFonts w:hint="eastAsia"/>
        </w:rPr>
        <w:t>萬噸食品，若再加上食品商經營的食品原物料，可想見逾期食物數量會有多龐大。台灣近來頻傳不肖業者竄改產品有效日期再賣案件，多數案件是靠公司內員工「吹哨子」檢舉舉發，才調查出結果，這證明衛生單位平時稽核無功，若政府政策面無更進一步的精進作為，則對那些唯利是圖的黑心廠商，勢將無法達到威嚇效果，國內食安問題也就無法根絕。</w:t>
      </w:r>
    </w:p>
    <w:p w:rsidR="00F20D04" w:rsidRDefault="00F20D04" w:rsidP="00A75D4B">
      <w:pPr>
        <w:pStyle w:val="afffff0"/>
        <w:spacing w:line="390" w:lineRule="exact"/>
        <w:ind w:left="633" w:hanging="422"/>
      </w:pPr>
      <w:r>
        <w:rPr>
          <w:rFonts w:hint="eastAsia"/>
        </w:rPr>
        <w:t>四、更進一步的說，台灣現行法規對逾期食物既未詳加規範，對通路商亦無課以溯源管理要求，對更重要的通報管理及追蹤流向等配套也付之闕如。反觀，國際間對逾期食物的處理，不是都視為廢棄物，就是透過其他處理方式再利用，例如法國、義大利，對於逾期食物都有規劃，像是做堆肥、飼料。因此，國內食品原料過期如何管理？通路商逾期食品如何管理？食品商或食品工廠的逾期原料如何管理？熟食或即食食品逾期如何管理？這一連串的疑問，作答的新政府，一定要給個有力的答案，否則如何解決逾期食品問題，又如何奢談要讓國人吃得安心。</w:t>
      </w:r>
    </w:p>
    <w:p w:rsidR="00F20D04" w:rsidRPr="0048791D" w:rsidRDefault="00F20D04" w:rsidP="00F20D04">
      <w:pPr>
        <w:pStyle w:val="afb"/>
        <w:spacing w:beforeLines="100" w:before="335" w:line="420" w:lineRule="exact"/>
        <w:ind w:leftChars="0" w:left="855" w:hanging="855"/>
      </w:pPr>
      <w:r>
        <w:rPr>
          <w:rFonts w:hint="eastAsia"/>
        </w:rPr>
        <w:lastRenderedPageBreak/>
        <w:t>（七）</w:t>
      </w:r>
      <w:r w:rsidRPr="0048791D">
        <w:rPr>
          <w:rFonts w:hint="eastAsia"/>
        </w:rPr>
        <w:t>本院許委員淑華，鑑於教育部修訂有關學生服裝儀容規定，增列「學校不得將學生服裝儀容規定作為處罰依據」。學校是教育的最前線，生活教育是學校教育的核心，教育部應該信任學校、尊重學校，並協助學校辦好教育，把學生教好。以學生服裝儀容為例，這是學校本位管理的項目，教育部不應該隔空下指導棋，不應該自己扮白臉討好學生，卻要學校扮黑臉去得罪學生，在修改規定之前，也應該聽聽學校的意見，特別是訓導人員的心聲，不能突然一聲令下就要求全體適用。教育部既違反民主精神在先，卻轉身要求學校要遵行民主機制，明顯違背了「其身正，不令而行；其身不正，雖令不從」的古訓，日後對於其它校規教育部也不應再插手，以免情況更糟，爰此特向行政院提出質詢。</w:t>
      </w:r>
    </w:p>
    <w:p w:rsidR="00F20D04" w:rsidRPr="00A17F2D" w:rsidRDefault="00F20D04" w:rsidP="00F20D04">
      <w:pPr>
        <w:pStyle w:val="a4"/>
        <w:spacing w:line="240" w:lineRule="auto"/>
        <w:ind w:left="633" w:hanging="633"/>
      </w:pPr>
    </w:p>
    <w:p w:rsidR="00F20D04" w:rsidRDefault="00F20D04" w:rsidP="00F20D04">
      <w:pPr>
        <w:pStyle w:val="a4"/>
        <w:spacing w:line="380" w:lineRule="exact"/>
        <w:ind w:left="633" w:hanging="633"/>
      </w:pPr>
      <w:r>
        <w:rPr>
          <w:rFonts w:hint="eastAsia"/>
        </w:rPr>
        <w:t>說明：</w:t>
      </w:r>
    </w:p>
    <w:p w:rsidR="00F20D04" w:rsidRDefault="00F20D04" w:rsidP="00F20D04">
      <w:pPr>
        <w:pStyle w:val="afffff0"/>
        <w:spacing w:line="380" w:lineRule="exact"/>
        <w:ind w:left="633" w:hanging="422"/>
      </w:pPr>
      <w:r>
        <w:rPr>
          <w:rFonts w:hint="eastAsia"/>
        </w:rPr>
        <w:t>一、教育部公告服儀不列懲處，各校贊成但也不忘呼籲，校服代表的還是傳統與榮譽；台南一中校長張添唐說，曾問學生「如果有一天台南街頭看不到卡其色校服（南一中制服），你們有什麼感覺？」學生都搖頭不樂見。</w:t>
      </w:r>
    </w:p>
    <w:p w:rsidR="00F20D04" w:rsidRDefault="00F20D04" w:rsidP="00F20D04">
      <w:pPr>
        <w:pStyle w:val="afffff0"/>
        <w:spacing w:line="380" w:lineRule="exact"/>
        <w:ind w:left="633" w:hanging="422"/>
      </w:pPr>
      <w:r>
        <w:rPr>
          <w:rFonts w:hint="eastAsia"/>
        </w:rPr>
        <w:t>二、服裝儀容是生活教育的一部分，學校要如何教導學生穿著是學校的基本職責，基於學校本位管理的原則，教育部不應該越俎代庖，扮演起學校訓導主任的角色。</w:t>
      </w:r>
    </w:p>
    <w:p w:rsidR="00F20D04" w:rsidRDefault="00F20D04" w:rsidP="00F20D04">
      <w:pPr>
        <w:pStyle w:val="afffff0"/>
        <w:spacing w:line="380" w:lineRule="exact"/>
        <w:ind w:left="633" w:hanging="422"/>
      </w:pPr>
      <w:r>
        <w:rPr>
          <w:rFonts w:hint="eastAsia"/>
        </w:rPr>
        <w:t>三、教育部一方面要求學校不可因學生服儀不整而記過處分，另一方面又強調，各校仍可循民主精神去訂規範。請問教育部，何謂「民主精神」？倘若循民主機制訂定規範，多數人員仍贊成維持記過處分，學校是否可以依照多數決辦理？若否，豈不違反民主精神？</w:t>
      </w:r>
    </w:p>
    <w:p w:rsidR="00F20D04" w:rsidRDefault="00F20D04" w:rsidP="00F20D04">
      <w:pPr>
        <w:pStyle w:val="afffff0"/>
        <w:spacing w:line="380" w:lineRule="exact"/>
        <w:ind w:left="633" w:hanging="422"/>
      </w:pPr>
      <w:r>
        <w:rPr>
          <w:rFonts w:hint="eastAsia"/>
        </w:rPr>
        <w:t>四、教育部應該是擬訂教育政策大方針，如今連生活教育的小細節都要對第一線的學校下指導棋，真是應了一句台灣諺語「豬頭不顧，顧土豆」，教育部本末倒置，而且捨大抓小。</w:t>
      </w:r>
    </w:p>
    <w:p w:rsidR="00F20D04" w:rsidRDefault="00F20D04" w:rsidP="00F20D04">
      <w:pPr>
        <w:pStyle w:val="afffff0"/>
        <w:spacing w:line="380" w:lineRule="exact"/>
        <w:ind w:left="633" w:hanging="422"/>
      </w:pPr>
      <w:r>
        <w:rPr>
          <w:rFonts w:hint="eastAsia"/>
        </w:rPr>
        <w:t>五、現在部分驕縱的學生，幾乎就快要騎到訓導人員的頭上去了，如果未來學校連服裝儀容檢查都要動輒得咎的話，對原本就士氣低落的行政人員更是雪上加霜，而學生不服管教的情況勢必更加惡化。還記得前不久發生國宴主廚被學生群毆的事件嗎？原因就出在生活教育失敗，而追根究柢在於「學校不敢管」、「學生管不動」。</w:t>
      </w:r>
    </w:p>
    <w:p w:rsidR="00F20D04" w:rsidRDefault="00F20D04" w:rsidP="00F20D04">
      <w:pPr>
        <w:pStyle w:val="afffff0"/>
        <w:spacing w:line="380" w:lineRule="exact"/>
        <w:ind w:left="633" w:hanging="422"/>
      </w:pPr>
      <w:r>
        <w:rPr>
          <w:rFonts w:hint="eastAsia"/>
        </w:rPr>
        <w:t>六、學校是教育的最前線，生活教育是學校教育的核心，教育部應該信任學校、尊重學校，並協助學校辦好教育，把學生教好。以學生服裝儀容為例，這是學校本位管理的項目，教育部不應該隔空下指導棋，不應該自己扮白臉討好學生，卻要學校扮黑臉去得罪學生。至少在修改規定之前，也應該聽聽學校的意見，特別是訓導人員的心聲，不能突然一聲令下就要求全體適用。</w:t>
      </w:r>
    </w:p>
    <w:p w:rsidR="00F20D04" w:rsidRPr="0048791D" w:rsidRDefault="00F20D04" w:rsidP="00F20D04">
      <w:pPr>
        <w:pStyle w:val="afb"/>
        <w:spacing w:beforeLines="100" w:before="335" w:line="420" w:lineRule="exact"/>
        <w:ind w:leftChars="0" w:left="855" w:hanging="855"/>
      </w:pPr>
      <w:r>
        <w:rPr>
          <w:rFonts w:hint="eastAsia"/>
        </w:rPr>
        <w:t>（八）</w:t>
      </w:r>
      <w:r w:rsidRPr="0048791D">
        <w:rPr>
          <w:rFonts w:hint="eastAsia"/>
        </w:rPr>
        <w:t>本院許委員淑華，鑑於台灣老年人口占總人口比例正在逼進</w:t>
      </w:r>
      <w:r w:rsidRPr="0048791D">
        <w:rPr>
          <w:rFonts w:hint="eastAsia"/>
        </w:rPr>
        <w:t>14%</w:t>
      </w:r>
      <w:r w:rsidRPr="0048791D">
        <w:rPr>
          <w:rFonts w:hint="eastAsia"/>
        </w:rPr>
        <w:lastRenderedPageBreak/>
        <w:t>，</w:t>
      </w:r>
      <w:r w:rsidRPr="0048791D">
        <w:rPr>
          <w:rFonts w:hint="eastAsia"/>
        </w:rPr>
        <w:t>2025</w:t>
      </w:r>
      <w:r w:rsidRPr="0048791D">
        <w:rPr>
          <w:rFonts w:hint="eastAsia"/>
        </w:rPr>
        <w:t>年將達</w:t>
      </w:r>
      <w:r w:rsidRPr="0048791D">
        <w:rPr>
          <w:rFonts w:hint="eastAsia"/>
        </w:rPr>
        <w:t>20%</w:t>
      </w:r>
      <w:r w:rsidRPr="0048791D">
        <w:rPr>
          <w:rFonts w:hint="eastAsia"/>
        </w:rPr>
        <w:t>，養老送終將是國家大事。台灣人的平均餘命約</w:t>
      </w:r>
      <w:r w:rsidRPr="0048791D">
        <w:rPr>
          <w:rFonts w:hint="eastAsia"/>
        </w:rPr>
        <w:t>80</w:t>
      </w:r>
      <w:r w:rsidRPr="0048791D">
        <w:rPr>
          <w:rFonts w:hint="eastAsia"/>
        </w:rPr>
        <w:t>歲，現階段有許多長輩在壽終正寢前，約有</w:t>
      </w:r>
      <w:r w:rsidRPr="0048791D">
        <w:rPr>
          <w:rFonts w:hint="eastAsia"/>
        </w:rPr>
        <w:t>7</w:t>
      </w:r>
      <w:r w:rsidRPr="0048791D">
        <w:rPr>
          <w:rFonts w:hint="eastAsia"/>
        </w:rPr>
        <w:t>、</w:t>
      </w:r>
      <w:r w:rsidRPr="0048791D">
        <w:rPr>
          <w:rFonts w:hint="eastAsia"/>
        </w:rPr>
        <w:t>8</w:t>
      </w:r>
      <w:r w:rsidRPr="0048791D">
        <w:rPr>
          <w:rFonts w:hint="eastAsia"/>
        </w:rPr>
        <w:t>年是處於臥病在床需要照顧狀況，衛福部推估，</w:t>
      </w:r>
      <w:r w:rsidRPr="0048791D">
        <w:rPr>
          <w:rFonts w:hint="eastAsia"/>
        </w:rPr>
        <w:t>87%</w:t>
      </w:r>
      <w:r w:rsidRPr="0048791D">
        <w:rPr>
          <w:rFonts w:hint="eastAsia"/>
        </w:rPr>
        <w:t>的老年人屬身體健康或是稍有小毛病的亞健康狀態，其餘</w:t>
      </w:r>
      <w:r w:rsidRPr="0048791D">
        <w:rPr>
          <w:rFonts w:hint="eastAsia"/>
        </w:rPr>
        <w:t>13%</w:t>
      </w:r>
      <w:r w:rsidRPr="0048791D">
        <w:rPr>
          <w:rFonts w:hint="eastAsia"/>
        </w:rPr>
        <w:t>需要長期照顧。但衛福部統計，</w:t>
      </w:r>
      <w:r w:rsidRPr="0048791D">
        <w:rPr>
          <w:rFonts w:hint="eastAsia"/>
        </w:rPr>
        <w:t>2017</w:t>
      </w:r>
      <w:r w:rsidRPr="0048791D">
        <w:rPr>
          <w:rFonts w:hint="eastAsia"/>
        </w:rPr>
        <w:t>年時照服員缺口將達</w:t>
      </w:r>
      <w:r w:rsidRPr="0048791D">
        <w:rPr>
          <w:rFonts w:hint="eastAsia"/>
        </w:rPr>
        <w:t>3</w:t>
      </w:r>
      <w:r w:rsidRPr="0048791D">
        <w:rPr>
          <w:rFonts w:hint="eastAsia"/>
        </w:rPr>
        <w:t>萬人，民團與立委都指出，若不能全盤規劃，提高照服員薪資、工作條件、社會地位、職業成就等，讓更多年輕人投入，將來就算有錢也請不到人，更可能出現「服務員挑案主」，病愈重、失能程度愈高的個案，愈沒人要照顧的狀況，爰此特向行政院提出質詢。</w:t>
      </w:r>
    </w:p>
    <w:p w:rsidR="00F20D04" w:rsidRPr="00E7358F" w:rsidRDefault="00F20D04" w:rsidP="00F20D04">
      <w:pPr>
        <w:pStyle w:val="a4"/>
        <w:spacing w:line="240" w:lineRule="auto"/>
        <w:ind w:left="633" w:hanging="633"/>
      </w:pPr>
    </w:p>
    <w:p w:rsidR="00F20D04" w:rsidRDefault="00F20D04" w:rsidP="00F20D04">
      <w:pPr>
        <w:pStyle w:val="a4"/>
        <w:spacing w:line="380" w:lineRule="exact"/>
        <w:ind w:left="633" w:hanging="633"/>
      </w:pPr>
      <w:r>
        <w:rPr>
          <w:rFonts w:hint="eastAsia"/>
        </w:rPr>
        <w:t>說明：</w:t>
      </w:r>
    </w:p>
    <w:p w:rsidR="00F20D04" w:rsidRDefault="00F20D04" w:rsidP="00F20D04">
      <w:pPr>
        <w:pStyle w:val="afffff0"/>
        <w:spacing w:line="380" w:lineRule="exact"/>
        <w:ind w:left="633" w:hanging="422"/>
      </w:pPr>
      <w:r>
        <w:rPr>
          <w:rFonts w:hint="eastAsia"/>
        </w:rPr>
        <w:t>一、</w:t>
      </w:r>
      <w:r>
        <w:rPr>
          <w:rFonts w:hint="eastAsia"/>
        </w:rPr>
        <w:t>2014</w:t>
      </w:r>
      <w:r>
        <w:rPr>
          <w:rFonts w:hint="eastAsia"/>
        </w:rPr>
        <w:t>年底國內照服員共</w:t>
      </w:r>
      <w:r>
        <w:rPr>
          <w:rFonts w:hint="eastAsia"/>
        </w:rPr>
        <w:t>2</w:t>
      </w:r>
      <w:r>
        <w:rPr>
          <w:rFonts w:hint="eastAsia"/>
        </w:rPr>
        <w:t>萬</w:t>
      </w:r>
      <w:r>
        <w:rPr>
          <w:rFonts w:hint="eastAsia"/>
        </w:rPr>
        <w:t>6,942</w:t>
      </w:r>
      <w:r>
        <w:rPr>
          <w:rFonts w:hint="eastAsia"/>
        </w:rPr>
        <w:t>人，衛福部估計，</w:t>
      </w:r>
      <w:r>
        <w:rPr>
          <w:rFonts w:hint="eastAsia"/>
        </w:rPr>
        <w:t>2017</w:t>
      </w:r>
      <w:r>
        <w:rPr>
          <w:rFonts w:hint="eastAsia"/>
        </w:rPr>
        <w:t>年需求將達</w:t>
      </w:r>
      <w:r>
        <w:rPr>
          <w:rFonts w:hint="eastAsia"/>
        </w:rPr>
        <w:t>5</w:t>
      </w:r>
      <w:r>
        <w:rPr>
          <w:rFonts w:hint="eastAsia"/>
        </w:rPr>
        <w:t>萬</w:t>
      </w:r>
      <w:r>
        <w:rPr>
          <w:rFonts w:hint="eastAsia"/>
        </w:rPr>
        <w:t>7,854</w:t>
      </w:r>
      <w:r>
        <w:rPr>
          <w:rFonts w:hint="eastAsia"/>
        </w:rPr>
        <w:t>人，人力缺口</w:t>
      </w:r>
      <w:r>
        <w:rPr>
          <w:rFonts w:hint="eastAsia"/>
        </w:rPr>
        <w:t>3</w:t>
      </w:r>
      <w:r>
        <w:rPr>
          <w:rFonts w:hint="eastAsia"/>
        </w:rPr>
        <w:t>萬</w:t>
      </w:r>
      <w:r>
        <w:rPr>
          <w:rFonts w:hint="eastAsia"/>
        </w:rPr>
        <w:t>912</w:t>
      </w:r>
      <w:r>
        <w:rPr>
          <w:rFonts w:hint="eastAsia"/>
        </w:rPr>
        <w:t>人，且這未計入雇用外籍看護工的失能者，如果以</w:t>
      </w:r>
      <w:r>
        <w:rPr>
          <w:rFonts w:hint="eastAsia"/>
        </w:rPr>
        <w:t>1</w:t>
      </w:r>
      <w:r>
        <w:rPr>
          <w:rFonts w:hint="eastAsia"/>
        </w:rPr>
        <w:t>年增加</w:t>
      </w:r>
      <w:r>
        <w:rPr>
          <w:rFonts w:hint="eastAsia"/>
        </w:rPr>
        <w:t>5,000</w:t>
      </w:r>
      <w:r>
        <w:rPr>
          <w:rFonts w:hint="eastAsia"/>
        </w:rPr>
        <w:t>名外籍看護工來看，照顧服務人力需求更加龐大。台灣須思考如何提供有品質又能負擔的照顧服務體系，且與預防失能並行，向北歐國家看齊，將死亡前的失能時間壓縮在</w:t>
      </w:r>
      <w:r>
        <w:rPr>
          <w:rFonts w:hint="eastAsia"/>
        </w:rPr>
        <w:t>1</w:t>
      </w:r>
      <w:r>
        <w:rPr>
          <w:rFonts w:hint="eastAsia"/>
        </w:rPr>
        <w:t>年、半年，甚至</w:t>
      </w:r>
      <w:r>
        <w:rPr>
          <w:rFonts w:hint="eastAsia"/>
        </w:rPr>
        <w:t>3</w:t>
      </w:r>
      <w:r>
        <w:rPr>
          <w:rFonts w:hint="eastAsia"/>
        </w:rPr>
        <w:t>個月不到，雖是高齡社會，卻活躍老化。</w:t>
      </w:r>
    </w:p>
    <w:p w:rsidR="00F20D04" w:rsidRDefault="00F20D04" w:rsidP="00F20D04">
      <w:pPr>
        <w:pStyle w:val="afffff0"/>
        <w:spacing w:line="380" w:lineRule="exact"/>
        <w:ind w:left="633" w:hanging="422"/>
      </w:pPr>
      <w:r>
        <w:rPr>
          <w:rFonts w:hint="eastAsia"/>
        </w:rPr>
        <w:t>二、民眾置身快速老化的社會結構，長照需求迫在眉睫，聘用外籍看護絕非解決照顧問題的特效藥或萬靈丹。長照含蓋的範圍非常寬廣，除社福體系外，醫療體系亦無法自外，兩者要銜接，社區扎根的長期照顧模式是不錯的做法，放眼國際間，不乏可資借鏡的成功經驗，諸如美國的</w:t>
      </w:r>
      <w:r>
        <w:rPr>
          <w:rFonts w:hint="eastAsia"/>
        </w:rPr>
        <w:t>PACE</w:t>
      </w:r>
      <w:r>
        <w:rPr>
          <w:rFonts w:hint="eastAsia"/>
        </w:rPr>
        <w:t>（</w:t>
      </w:r>
      <w:r>
        <w:rPr>
          <w:rFonts w:hint="eastAsia"/>
        </w:rPr>
        <w:t>PROGRAMS OF ALL-INCLUSIVE CARE FORTHE ELDERLY</w:t>
      </w:r>
      <w:r>
        <w:rPr>
          <w:rFonts w:hint="eastAsia"/>
        </w:rPr>
        <w:t>）模式，整合健保門診醫療、居家與社區的復健、日間照顧、交通接送、臨托喘息等全方位服務，發展至今已有</w:t>
      </w:r>
      <w:r>
        <w:rPr>
          <w:rFonts w:hint="eastAsia"/>
        </w:rPr>
        <w:t>30</w:t>
      </w:r>
      <w:r>
        <w:rPr>
          <w:rFonts w:hint="eastAsia"/>
        </w:rPr>
        <w:t>多年可參考經驗。</w:t>
      </w:r>
    </w:p>
    <w:p w:rsidR="00F20D04" w:rsidRDefault="00F20D04" w:rsidP="00F20D04">
      <w:pPr>
        <w:pStyle w:val="afffff0"/>
        <w:spacing w:line="380" w:lineRule="exact"/>
        <w:ind w:left="633" w:hanging="422"/>
      </w:pPr>
      <w:r>
        <w:rPr>
          <w:rFonts w:hint="eastAsia"/>
        </w:rPr>
        <w:t>三、除美國外，鄰近日本早已邁入高度高齡化社會，東京大學高齡者總和研究機構，在日本千葉縣柏市進行社區整體照顧計畫，設置高齡友善公所、在宅醫療及長照養護機構，幼兒園及植物園更在安養機構附近，成功打造出安享天年的社區生活，亦可做為台灣的長照的塑形概念。</w:t>
      </w:r>
    </w:p>
    <w:p w:rsidR="00F20D04" w:rsidRPr="0048791D" w:rsidRDefault="00F20D04" w:rsidP="00F20D04">
      <w:pPr>
        <w:pStyle w:val="afb"/>
        <w:spacing w:beforeLines="100" w:before="335" w:line="420" w:lineRule="exact"/>
        <w:ind w:leftChars="0" w:left="855" w:hanging="855"/>
      </w:pPr>
      <w:r>
        <w:rPr>
          <w:rFonts w:hint="eastAsia"/>
        </w:rPr>
        <w:t>（九）</w:t>
      </w:r>
      <w:r w:rsidRPr="0048791D">
        <w:rPr>
          <w:rFonts w:hint="eastAsia"/>
        </w:rPr>
        <w:t>本院許委員淑華，鑒於老舊社區都更是住戶們的美夢，尤其在地震頻傳的台灣，都更簡直是一種拯救，於是，拒絕合作的釘子戶就成為其他住戶的眼中釘。但無論釘子戶多自私貪婪可恨，私有財產受到《憲法》和法律保障，仍是不可剝奪的權利。為了市容和預防大地震，公共利益是否應高於私產，要求行政院應責成所屬機關研擬相關措施，以維私有財產與公共利益。爰此，特向行</w:t>
      </w:r>
      <w:r w:rsidRPr="0048791D">
        <w:rPr>
          <w:rFonts w:hint="eastAsia"/>
        </w:rPr>
        <w:lastRenderedPageBreak/>
        <w:t>政院提出質詢。</w:t>
      </w:r>
    </w:p>
    <w:p w:rsidR="00F20D04" w:rsidRPr="00E7358F" w:rsidRDefault="00F20D04" w:rsidP="00F20D04">
      <w:pPr>
        <w:pStyle w:val="a4"/>
        <w:spacing w:line="240" w:lineRule="auto"/>
        <w:ind w:left="633" w:hanging="633"/>
      </w:pPr>
    </w:p>
    <w:p w:rsidR="00F20D04" w:rsidRDefault="00F20D04" w:rsidP="00F20D04">
      <w:pPr>
        <w:pStyle w:val="a4"/>
        <w:spacing w:line="380" w:lineRule="exact"/>
        <w:ind w:left="633" w:hanging="633"/>
      </w:pPr>
      <w:r>
        <w:rPr>
          <w:rFonts w:hint="eastAsia"/>
        </w:rPr>
        <w:t>說明：</w:t>
      </w:r>
    </w:p>
    <w:p w:rsidR="00F20D04" w:rsidRDefault="00F20D04" w:rsidP="00F20D04">
      <w:pPr>
        <w:pStyle w:val="afffff0"/>
        <w:spacing w:line="380" w:lineRule="exact"/>
        <w:ind w:left="633" w:hanging="422"/>
      </w:pPr>
      <w:r>
        <w:rPr>
          <w:rFonts w:hint="eastAsia"/>
        </w:rPr>
        <w:t>一、私產制是資本主義的核心原則，是人類一切經濟活動的基礎和激勵，剝奪之後無利可圖，經濟必然凋敝。</w:t>
      </w:r>
      <w:r>
        <w:rPr>
          <w:rFonts w:hint="eastAsia"/>
        </w:rPr>
        <w:t>1949</w:t>
      </w:r>
      <w:r>
        <w:rPr>
          <w:rFonts w:hint="eastAsia"/>
        </w:rPr>
        <w:t>到</w:t>
      </w:r>
      <w:r>
        <w:rPr>
          <w:rFonts w:hint="eastAsia"/>
        </w:rPr>
        <w:t>1979</w:t>
      </w:r>
      <w:r>
        <w:rPr>
          <w:rFonts w:hint="eastAsia"/>
        </w:rPr>
        <w:t>的毛記中國，因為私產制被污名化和罪行化，斲喪了生產的企圖心與創造力，結果一窮二白。蘇聯更早在史達林</w:t>
      </w:r>
      <w:r>
        <w:rPr>
          <w:rFonts w:hint="eastAsia"/>
        </w:rPr>
        <w:t>1953</w:t>
      </w:r>
      <w:r>
        <w:rPr>
          <w:rFonts w:hint="eastAsia"/>
        </w:rPr>
        <w:t>年去世後便走向修正主義。中蘇二共直接或間接地承認了私有制對經濟發展的關鍵性，就是否定了馬克思到毛澤東認為私有財產是一切罪惡根源的錯誤論斷。</w:t>
      </w:r>
    </w:p>
    <w:p w:rsidR="00F20D04" w:rsidRDefault="00F20D04" w:rsidP="00F20D04">
      <w:pPr>
        <w:pStyle w:val="afffff0"/>
        <w:spacing w:line="380" w:lineRule="exact"/>
        <w:ind w:left="633" w:hanging="422"/>
      </w:pPr>
      <w:r>
        <w:rPr>
          <w:rFonts w:hint="eastAsia"/>
        </w:rPr>
        <w:t>二、新北市民林仁堅前天中午一家</w:t>
      </w:r>
      <w:r>
        <w:rPr>
          <w:rFonts w:hint="eastAsia"/>
        </w:rPr>
        <w:t>5</w:t>
      </w:r>
      <w:r>
        <w:rPr>
          <w:rFonts w:hint="eastAsia"/>
        </w:rPr>
        <w:t>口出門吃飯，回來看到</w:t>
      </w:r>
      <w:r>
        <w:rPr>
          <w:rFonts w:hint="eastAsia"/>
        </w:rPr>
        <w:t>1</w:t>
      </w:r>
      <w:r>
        <w:rPr>
          <w:rFonts w:hint="eastAsia"/>
        </w:rPr>
        <w:t>到</w:t>
      </w:r>
      <w:r>
        <w:rPr>
          <w:rFonts w:hint="eastAsia"/>
        </w:rPr>
        <w:t>3</w:t>
      </w:r>
      <w:r>
        <w:rPr>
          <w:rFonts w:hint="eastAsia"/>
        </w:rPr>
        <w:t>樓的家已遭大鋼牙怪手夷成廢墟。原來是建商欲整合林家和其他</w:t>
      </w:r>
      <w:r>
        <w:rPr>
          <w:rFonts w:hint="eastAsia"/>
        </w:rPr>
        <w:t>12</w:t>
      </w:r>
      <w:r>
        <w:rPr>
          <w:rFonts w:hint="eastAsia"/>
        </w:rPr>
        <w:t>戶民宅蓋大樓，林和另一戶拒絕合作，建商遂違法突襲偷拆，害林家人無家可歸，嚴重侵犯林家的權益。昨天拆屋承包商因毀壞建築物罪已被收押禁見，新北市府也嚴厲譴責橙鴻建設公司罔顧民眾安全。此事若僵持下去，將成為第二個文林苑，全部成為輸家，沒有贏家。</w:t>
      </w:r>
    </w:p>
    <w:p w:rsidR="00F20D04" w:rsidRDefault="00F20D04" w:rsidP="00F20D04">
      <w:pPr>
        <w:pStyle w:val="afffff0"/>
        <w:spacing w:line="380" w:lineRule="exact"/>
        <w:ind w:left="633" w:hanging="422"/>
      </w:pPr>
      <w:r>
        <w:rPr>
          <w:rFonts w:hint="eastAsia"/>
        </w:rPr>
        <w:t>三、或許極少數釘子戶是想拿喬，故意拖延反對，好私下從建商那裡得到比其他人更優惠的條件或補償，而藉口就是「祖產有感情」、「家有老人，遷移不方便」等。為了對治這種人，北市曾通過立法只要社區同意都更的居民超過</w:t>
      </w:r>
      <w:r>
        <w:rPr>
          <w:rFonts w:hint="eastAsia"/>
        </w:rPr>
        <w:t>95%</w:t>
      </w:r>
      <w:r>
        <w:rPr>
          <w:rFonts w:hint="eastAsia"/>
        </w:rPr>
        <w:t>，即可強制拆除釘子戶的家，達到都市更新的目的。但文林苑事件後，此條例已停用，因為就算釘子戶只有</w:t>
      </w:r>
      <w:r>
        <w:rPr>
          <w:rFonts w:hint="eastAsia"/>
        </w:rPr>
        <w:t>1%</w:t>
      </w:r>
      <w:r>
        <w:rPr>
          <w:rFonts w:hint="eastAsia"/>
        </w:rPr>
        <w:t>，房產也是個人的權利，任何人不得剝奪。</w:t>
      </w:r>
    </w:p>
    <w:p w:rsidR="00F20D04" w:rsidRDefault="00F20D04" w:rsidP="00F20D04">
      <w:pPr>
        <w:pStyle w:val="afffff0"/>
        <w:spacing w:line="380" w:lineRule="exact"/>
        <w:ind w:left="633" w:hanging="422"/>
      </w:pPr>
      <w:r>
        <w:rPr>
          <w:rFonts w:hint="eastAsia"/>
        </w:rPr>
        <w:t>四、為了市容和預防大地震，公共利益是否應高於私產，是個必須討論的議題。在西方也不得剝奪個人私產，必須不斷溝通，最後的辦法是新樓繞過釘子戶的家來興建，好讓住戶早日遷回。</w:t>
      </w:r>
    </w:p>
    <w:p w:rsidR="00F20D04" w:rsidRPr="0048791D" w:rsidRDefault="00F20D04" w:rsidP="00F20D04">
      <w:pPr>
        <w:pStyle w:val="afb"/>
        <w:spacing w:beforeLines="100" w:before="335" w:line="420" w:lineRule="exact"/>
        <w:ind w:leftChars="0" w:left="855" w:hanging="855"/>
      </w:pPr>
      <w:r>
        <w:rPr>
          <w:rFonts w:hint="eastAsia"/>
        </w:rPr>
        <w:t>（十）</w:t>
      </w:r>
      <w:r w:rsidRPr="0048791D">
        <w:rPr>
          <w:rFonts w:hint="eastAsia"/>
        </w:rPr>
        <w:t>本院許委員淑華，針對甫在日本伊勢志摩閉幕的七大工業國高峰會（</w:t>
      </w:r>
      <w:r w:rsidRPr="0048791D">
        <w:rPr>
          <w:rFonts w:hint="eastAsia"/>
        </w:rPr>
        <w:t>G7 SUMMIT</w:t>
      </w:r>
      <w:r w:rsidRPr="0048791D">
        <w:rPr>
          <w:rFonts w:hint="eastAsia"/>
        </w:rPr>
        <w:t>）、以及即將在</w:t>
      </w:r>
      <w:r w:rsidRPr="0048791D">
        <w:rPr>
          <w:rFonts w:hint="eastAsia"/>
        </w:rPr>
        <w:t>6</w:t>
      </w:r>
      <w:r w:rsidRPr="0048791D">
        <w:rPr>
          <w:rFonts w:hint="eastAsia"/>
        </w:rPr>
        <w:t>月</w:t>
      </w:r>
      <w:r w:rsidRPr="0048791D">
        <w:rPr>
          <w:rFonts w:hint="eastAsia"/>
        </w:rPr>
        <w:t>6</w:t>
      </w:r>
      <w:r w:rsidRPr="0048791D">
        <w:rPr>
          <w:rFonts w:hint="eastAsia"/>
        </w:rPr>
        <w:t>日舉行的第八輪中美戰略與經濟對話，將對全球下半年的經濟、特別是人民幣匯率穩定，將帶來決定性的影響。因此要求行政院必須針對全球經濟在人民幣匯率穩定的環境下可能逐漸走向復甦的道路，研擬因應措施以促進我國經濟回穩、爰此，特向行政院提出質詢。</w:t>
      </w:r>
    </w:p>
    <w:p w:rsidR="00F20D04" w:rsidRPr="00E7358F" w:rsidRDefault="00F20D04" w:rsidP="00F20D04">
      <w:pPr>
        <w:pStyle w:val="a4"/>
        <w:spacing w:line="240" w:lineRule="auto"/>
        <w:ind w:left="633" w:hanging="633"/>
      </w:pPr>
    </w:p>
    <w:p w:rsidR="00F20D04" w:rsidRDefault="00F20D04" w:rsidP="00F20D04">
      <w:pPr>
        <w:pStyle w:val="a4"/>
        <w:spacing w:line="380" w:lineRule="exact"/>
        <w:ind w:left="633" w:hanging="633"/>
      </w:pPr>
      <w:r>
        <w:rPr>
          <w:rFonts w:hint="eastAsia"/>
        </w:rPr>
        <w:t>說明：</w:t>
      </w:r>
    </w:p>
    <w:p w:rsidR="00F20D04" w:rsidRDefault="00F20D04" w:rsidP="00F20D04">
      <w:pPr>
        <w:pStyle w:val="afffff0"/>
        <w:spacing w:line="380" w:lineRule="exact"/>
        <w:ind w:left="633" w:hanging="422"/>
      </w:pPr>
      <w:r>
        <w:rPr>
          <w:rFonts w:hint="eastAsia"/>
        </w:rPr>
        <w:t>一、日本此次擔任七大工業國高峰會的東道主，展現罕見的高規格安排，除了特別選擇在風光明媚的伊勢志摩，而非舉行傳統高峰會議的首都東京，還安排歐巴馬總統親自到遭到原子彈毀城的廣島市憑弔二次大戰的死者。第一個美國總統訪問遭到原子彈轟炸的城市，成了此次</w:t>
      </w:r>
      <w:r>
        <w:rPr>
          <w:rFonts w:hint="eastAsia"/>
        </w:rPr>
        <w:t>G7</w:t>
      </w:r>
      <w:r>
        <w:rPr>
          <w:rFonts w:hint="eastAsia"/>
        </w:rPr>
        <w:t>會議的焦點，也隱藏了日本同時邀請了越南、印尼、寮國等亞非洲的七個國家元首</w:t>
      </w:r>
      <w:r>
        <w:rPr>
          <w:rFonts w:hint="eastAsia"/>
        </w:rPr>
        <w:lastRenderedPageBreak/>
        <w:t>，外加聯合國、歐盟、經濟合作與發展組織、國際貨幣基金組織、世界銀行、亞洲開發銀行等國際組織的一把手出席此次會議。實際上，此次共有</w:t>
      </w:r>
      <w:r>
        <w:rPr>
          <w:rFonts w:hint="eastAsia"/>
        </w:rPr>
        <w:t>21</w:t>
      </w:r>
      <w:r>
        <w:rPr>
          <w:rFonts w:hint="eastAsia"/>
        </w:rPr>
        <w:t>位國家元首或是國際組織領袖，參加了安倍主導的國際峰會，相較於過往的工業國高峰會議，這次有更為濃厚的政治與國際戰略布局的目的。</w:t>
      </w:r>
    </w:p>
    <w:p w:rsidR="00F20D04" w:rsidRDefault="00F20D04" w:rsidP="00F20D04">
      <w:pPr>
        <w:pStyle w:val="afffff0"/>
        <w:spacing w:line="380" w:lineRule="exact"/>
        <w:ind w:left="633" w:hanging="422"/>
      </w:pPr>
      <w:r>
        <w:rPr>
          <w:rFonts w:hint="eastAsia"/>
        </w:rPr>
        <w:t>二、不在七大工業國之列的中國，與一度成為</w:t>
      </w:r>
      <w:r>
        <w:rPr>
          <w:rFonts w:hint="eastAsia"/>
        </w:rPr>
        <w:t>G8</w:t>
      </w:r>
      <w:r>
        <w:rPr>
          <w:rFonts w:hint="eastAsia"/>
        </w:rPr>
        <w:t>成員卻被除名的俄羅斯，則高聲表達極為不以為然的態度，特別是東海與南海議題列入會議伊勢志摩聯合宣言，直接點名東海及南海，強調和平管理及解決爭端相當重要。伊勢</w:t>
      </w:r>
      <w:r>
        <w:rPr>
          <w:rFonts w:hint="eastAsia"/>
        </w:rPr>
        <w:t>G7</w:t>
      </w:r>
      <w:r>
        <w:rPr>
          <w:rFonts w:hint="eastAsia"/>
        </w:rPr>
        <w:t>聯合宣言主張，對海洋主權的聲索應按國際法進行，避免可能加劇局勢緊張的單方面行動，恪守不以武力或威懾手段來聲請領土或領海主張。中國外交部長王毅與新聞發言人，表達對</w:t>
      </w:r>
      <w:r>
        <w:rPr>
          <w:rFonts w:hint="eastAsia"/>
        </w:rPr>
        <w:t>G7</w:t>
      </w:r>
      <w:r>
        <w:rPr>
          <w:rFonts w:hint="eastAsia"/>
        </w:rPr>
        <w:t>炒作南海等問題，挑起地區矛盾的「強烈不滿」，並敦促</w:t>
      </w:r>
      <w:r>
        <w:rPr>
          <w:rFonts w:hint="eastAsia"/>
        </w:rPr>
        <w:t>G7</w:t>
      </w:r>
      <w:r>
        <w:rPr>
          <w:rFonts w:hint="eastAsia"/>
        </w:rPr>
        <w:t>應聚焦全球經濟治理與合作。此外，大陸也緊盯日本與越南、印尼、寮國等周邊國家的互動，力阻美國與日本在亞洲形成對大陸的軍事圍堵布局。</w:t>
      </w:r>
    </w:p>
    <w:p w:rsidR="00F20D04" w:rsidRDefault="00F20D04" w:rsidP="00F20D04">
      <w:pPr>
        <w:pStyle w:val="afffff0"/>
        <w:spacing w:line="380" w:lineRule="exact"/>
        <w:ind w:left="633" w:hanging="422"/>
      </w:pPr>
      <w:r>
        <w:rPr>
          <w:rFonts w:hint="eastAsia"/>
        </w:rPr>
        <w:t>三、接著在</w:t>
      </w:r>
      <w:r>
        <w:rPr>
          <w:rFonts w:hint="eastAsia"/>
        </w:rPr>
        <w:t>6</w:t>
      </w:r>
      <w:r>
        <w:rPr>
          <w:rFonts w:hint="eastAsia"/>
        </w:rPr>
        <w:t>月</w:t>
      </w:r>
      <w:r>
        <w:rPr>
          <w:rFonts w:hint="eastAsia"/>
        </w:rPr>
        <w:t>6</w:t>
      </w:r>
      <w:r>
        <w:rPr>
          <w:rFonts w:hint="eastAsia"/>
        </w:rPr>
        <w:t>日，美國國務卿凱瑞與財政部長李烏將要在北京，與國務院委員楊潔篪、國務院副總理汪洋，舉行第八輪中美戰略與經濟對話，美中兩國在南海升高的軍事對峙，使得這次的戰略對話成為歷次最劍拔弩張、最後也可能各說各話的一次對話。但是，國際戰略對峙雖然劍拔弩張，實際上不論是伊勢高峰會議、美中戰略對話、或者是美中兩國財政部長持續的對話，卻展現另一個更為重要的訊息，就是大家都高喊「全力避免貨幣貶值競賽」，反對震盪的匯率走勢。這個各國一致的政策方向，寫明在伊勢高峰會議的聯合公報，也展現在美中戰略會議的準備工作中，更從北京政府最近貨幣政策轉向、人民幣國際化推動步驟減緩的具體政策中可以清楚觀察。</w:t>
      </w:r>
    </w:p>
    <w:p w:rsidR="00F20D04" w:rsidRDefault="00F20D04" w:rsidP="00F20D04">
      <w:pPr>
        <w:pStyle w:val="afffff0"/>
        <w:spacing w:line="380" w:lineRule="exact"/>
        <w:ind w:left="633" w:hanging="422"/>
      </w:pPr>
      <w:r>
        <w:rPr>
          <w:rFonts w:hint="eastAsia"/>
        </w:rPr>
        <w:t>四、北京籌備第八輪中美戰略對話的準備會議中，直接向美方表明期望聯準會不要在</w:t>
      </w:r>
      <w:r>
        <w:rPr>
          <w:rFonts w:hint="eastAsia"/>
        </w:rPr>
        <w:t>6</w:t>
      </w:r>
      <w:r>
        <w:rPr>
          <w:rFonts w:hint="eastAsia"/>
        </w:rPr>
        <w:t>月就啟動升息循環，如果能夠延至</w:t>
      </w:r>
      <w:r>
        <w:rPr>
          <w:rFonts w:hint="eastAsia"/>
        </w:rPr>
        <w:t>7</w:t>
      </w:r>
      <w:r>
        <w:rPr>
          <w:rFonts w:hint="eastAsia"/>
        </w:rPr>
        <w:t>月，對於中美兩國的經濟與金融穩定將有助益；同時，中共央行貨幣分析小組在</w:t>
      </w:r>
      <w:r>
        <w:rPr>
          <w:rFonts w:hint="eastAsia"/>
        </w:rPr>
        <w:t>5</w:t>
      </w:r>
      <w:r>
        <w:rPr>
          <w:rFonts w:hint="eastAsia"/>
        </w:rPr>
        <w:t>月底發表長文《</w:t>
      </w:r>
      <w:r>
        <w:rPr>
          <w:rFonts w:hint="eastAsia"/>
        </w:rPr>
        <w:t>2015</w:t>
      </w:r>
      <w:r>
        <w:rPr>
          <w:rFonts w:hint="eastAsia"/>
        </w:rPr>
        <w:t>年以來穩健貨幣政策主要特點的回顧》，透露在「權威人士」的政策指引下，人民銀行的寬鬆貨幣周期已經結束，未來幾個月貨幣供給額</w:t>
      </w:r>
      <w:r>
        <w:rPr>
          <w:rFonts w:hint="eastAsia"/>
        </w:rPr>
        <w:t>M2</w:t>
      </w:r>
      <w:r>
        <w:rPr>
          <w:rFonts w:hint="eastAsia"/>
        </w:rPr>
        <w:t>的增速「將會有比較明顯的下降」，顯示人民銀行雖然不是緊縮，政策上卻已經向中性調整了。在中美戰略會議召開前夕，與會的美國財政部次長希茨（</w:t>
      </w:r>
      <w:r>
        <w:rPr>
          <w:rFonts w:hint="eastAsia"/>
        </w:rPr>
        <w:t>NATHAN SHEETS</w:t>
      </w:r>
      <w:r>
        <w:rPr>
          <w:rFonts w:hint="eastAsia"/>
        </w:rPr>
        <w:t>）在華盛頓智庫布魯金斯中心的演講中，特別強調美國對於中國經濟轉型「再平衡」的關注，希茨還特別強調人民幣匯率政策的「穩定與透明化」，這是從今年年初在上海</w:t>
      </w:r>
      <w:r>
        <w:rPr>
          <w:rFonts w:hint="eastAsia"/>
        </w:rPr>
        <w:t>G20</w:t>
      </w:r>
      <w:r>
        <w:rPr>
          <w:rFonts w:hint="eastAsia"/>
        </w:rPr>
        <w:t>財長會議至今，美國財政部長李烏等人不斷重申的政策核心，實際上美國與中國在匯率政策上建立穩定的共識，不期望發生重大的匯率波動事件。</w:t>
      </w:r>
    </w:p>
    <w:p w:rsidR="00F20D04" w:rsidRDefault="00F20D04" w:rsidP="00F20D04">
      <w:pPr>
        <w:pStyle w:val="afffff0"/>
        <w:spacing w:line="380" w:lineRule="exact"/>
        <w:ind w:left="633" w:hanging="422"/>
      </w:pPr>
      <w:r>
        <w:rPr>
          <w:rFonts w:hint="eastAsia"/>
        </w:rPr>
        <w:t>五、在經歷前幾個月境外人民幣外匯市場（</w:t>
      </w:r>
      <w:r>
        <w:rPr>
          <w:rFonts w:hint="eastAsia"/>
        </w:rPr>
        <w:t>CNH</w:t>
      </w:r>
      <w:r>
        <w:rPr>
          <w:rFonts w:hint="eastAsia"/>
        </w:rPr>
        <w:t>）的震盪之後，大陸對於人民幣國際化的推動速度，實際上也已經放緩了，最近僅有財政部在倫敦發行了人民幣國債，中國工商銀行與農業銀行在紐約發行人民幣債券，除此之外，人民幣國際化的推動速度已經放緩，官員提及國際化政策的頻率也快速降溫，這些都是北京將人民幣匯率維穩視為第一要務的重要指標。人民銀行貨幣政策轉趨中性、減緩國際化的步伐、以及美國、日本、英國、歐盟等國對於穩定匯率的共識，對於紓解人民幣的貶值壓力應該可以產生相當的作用，經濟穩健復</w:t>
      </w:r>
      <w:r>
        <w:rPr>
          <w:rFonts w:hint="eastAsia"/>
        </w:rPr>
        <w:lastRenderedPageBreak/>
        <w:t>甦，消化泡沫時期的過剩產能，是世界各國政治領袖共同努力的方向，重要性甚至超過大國在南海、南美、阿拉伯、東歐的地緣政治角力。</w:t>
      </w:r>
    </w:p>
    <w:p w:rsidR="00F20D04" w:rsidRDefault="00F20D04" w:rsidP="00F20D04">
      <w:pPr>
        <w:pStyle w:val="afffff0"/>
        <w:spacing w:line="380" w:lineRule="exact"/>
        <w:ind w:left="633" w:hanging="422"/>
      </w:pPr>
      <w:r>
        <w:rPr>
          <w:rFonts w:hint="eastAsia"/>
        </w:rPr>
        <w:t>六、畢竟，政權維繫是大國領袖最核心的工作，在南海軍事衝突升高的表象之下，我們真誠期待華盛頓、北京、與東京在經濟上戮力匯率維穩的工作，特別是人民幣匯率的穩定，應該是各國合作最重要的指標象徵。我們在</w:t>
      </w:r>
      <w:r>
        <w:rPr>
          <w:rFonts w:hint="eastAsia"/>
        </w:rPr>
        <w:t>G7</w:t>
      </w:r>
      <w:r>
        <w:rPr>
          <w:rFonts w:hint="eastAsia"/>
        </w:rPr>
        <w:t>聯合公告看到「避免貨幣競貶」列為公告最重要的宣言，我們看到中美戰略合作會議聚焦「再平衡」的中國經濟轉型，我們更看到北京政府對於維持人民幣匯價具體的政策，我們期待今年下半年，全球經濟在人民幣匯率穩定的環境下，逐漸走向復甦的道路。</w:t>
      </w:r>
    </w:p>
    <w:p w:rsidR="00F20D04" w:rsidRPr="004029CE" w:rsidRDefault="00F20D04" w:rsidP="00F20D04">
      <w:pPr>
        <w:pStyle w:val="afb"/>
        <w:spacing w:beforeLines="100" w:before="335" w:line="420" w:lineRule="exact"/>
        <w:ind w:leftChars="0" w:left="1140" w:hangingChars="400" w:hanging="1140"/>
      </w:pPr>
      <w:r>
        <w:rPr>
          <w:rFonts w:hint="eastAsia"/>
        </w:rPr>
        <w:t>（十一）</w:t>
      </w:r>
      <w:r w:rsidRPr="004029CE">
        <w:rPr>
          <w:rFonts w:hint="eastAsia"/>
        </w:rPr>
        <w:t>本院許委員淑華，鑒於台灣高鐵南港站訂於七月一日通車啟用，高鐵公司宣布自該日全面調整班表。高鐵班表優化是整體公共運輸服務品質提升的重要一環，而優化的背後涉及增車增員的長期規劃、跨國產業合作與技術輸出、觀光與交通服務、以及高鐵、台鐵與地方捷運和客運整合，要求行政院應責成交通部與高鐵公司能以更宏觀的思維協力合作，讓民眾更願意使用公共運輸，享受低碳出行的優質服務。爰此，特向行政院提出質詢。</w:t>
      </w:r>
    </w:p>
    <w:p w:rsidR="00F20D04" w:rsidRPr="001374BC" w:rsidRDefault="00F20D04" w:rsidP="00F20D04">
      <w:pPr>
        <w:pStyle w:val="a4"/>
        <w:spacing w:line="240" w:lineRule="auto"/>
        <w:ind w:left="633" w:hanging="633"/>
      </w:pPr>
    </w:p>
    <w:p w:rsidR="00F20D04" w:rsidRDefault="00F20D04" w:rsidP="00F20D04">
      <w:pPr>
        <w:pStyle w:val="a4"/>
        <w:spacing w:line="380" w:lineRule="exact"/>
        <w:ind w:left="633" w:hanging="633"/>
      </w:pPr>
      <w:r>
        <w:rPr>
          <w:rFonts w:hint="eastAsia"/>
        </w:rPr>
        <w:t>說明：</w:t>
      </w:r>
    </w:p>
    <w:p w:rsidR="00F20D04" w:rsidRDefault="00F20D04" w:rsidP="00F20D04">
      <w:pPr>
        <w:pStyle w:val="afffff0"/>
        <w:spacing w:line="380" w:lineRule="exact"/>
        <w:ind w:left="633" w:hanging="422"/>
      </w:pPr>
      <w:r>
        <w:rPr>
          <w:rFonts w:hint="eastAsia"/>
        </w:rPr>
        <w:t>一、台灣高鐵南港站訂於七月一日通車啟用，高鐵公司宣布自該日全面調整班表。相對於去年因應苗栗、彰化、雲林新站啟用的班表調整，此次南港站加入營運可說是整體高鐵系統的完成，雖有北延宜蘭、南延屏東恆春之議，但在未來的十至十五年當以此三四五公里、十二個車站為基本營運路網。在有限列車資源、人力與路網容量下，新的班表與營運計畫確實能夠明顯提升服務品質。其中南港與左營兩端點站班車提早自六時十五分發車，直達車班次大幅增加，民眾可以在上午九時以前北上抵達台北站，以及南下抵達嘉義、台南、左營的班次也增加，而在各站停靠間隔也力求均衡，縮減民眾等候時間。這些服務的提升，值得予以肯定，對於高鐵與其他公共運輸的整合，以及因應需求的購車增員規劃，仍有待交通部、地方政府及客運業者共同努力。</w:t>
      </w:r>
    </w:p>
    <w:p w:rsidR="00F20D04" w:rsidRDefault="00F20D04" w:rsidP="00F20D04">
      <w:pPr>
        <w:pStyle w:val="afffff0"/>
        <w:spacing w:line="380" w:lineRule="exact"/>
        <w:ind w:left="633" w:hanging="422"/>
      </w:pPr>
      <w:r>
        <w:rPr>
          <w:rFonts w:hint="eastAsia"/>
        </w:rPr>
        <w:t>二、本次班表調整能兼顧旅運需求及列車運用效能，並依據尖離峰、日夜間、通勤，以及假期等不同時段旅運特性，安排多元化列車停靠模式，可滿足短、中、長程旅客的需求。檢視其次班表調整內容，可歸納出下列特色：一、增加直達車，便利長途旅行規劃。二、增加停靠原八站列車，符合旅運實際需求。三、發車與各站停站間距均勻化，縮減等候時間。四、首班車提早發車，增加九點前抵達南北各大站的班次，提高民眾洽公便利性。五、末班車延後發車，旅客行程規劃更有彈性。然而，若檢視此次總班次數量可以發現有不增反</w:t>
      </w:r>
      <w:r>
        <w:rPr>
          <w:rFonts w:hint="eastAsia"/>
        </w:rPr>
        <w:lastRenderedPageBreak/>
        <w:t>減的現象，固然這是班表規劃在三十四組車輛，以及南北總行駛時間因新設車站而增加的折衝結果，但三站新增與南港站早已是既定計畫，交通部未能善盡督導責任在二、三年前即依營運規劃要求高鐵公司提出增車與增員計畫，實有必要進行檢討。</w:t>
      </w:r>
    </w:p>
    <w:p w:rsidR="00F20D04" w:rsidRDefault="00F20D04" w:rsidP="00F20D04">
      <w:pPr>
        <w:pStyle w:val="afffff0"/>
        <w:spacing w:line="380" w:lineRule="exact"/>
        <w:ind w:left="633" w:hanging="422"/>
      </w:pPr>
      <w:r>
        <w:rPr>
          <w:rFonts w:hint="eastAsia"/>
        </w:rPr>
        <w:t>三、高鐵車輛購置攸關未來維運成本，也涉及和日本高鐵產業協力進軍國際市場的策略，這更需要交通部與高鐵公司做細緻的規劃與合作。當然，在財務改造計畫、延長經營年期通過後，優質服務、全民共享已是高鐵責無旁貸的目標，除了應有合理增車與增員計畫，更應同步精進技術能量，透過提速與動態排班進一步提高系統容量，提供民眾更密班次、多元選擇的服務。</w:t>
      </w:r>
    </w:p>
    <w:p w:rsidR="00F20D04" w:rsidRDefault="00F20D04" w:rsidP="00F20D04">
      <w:pPr>
        <w:pStyle w:val="afffff0"/>
        <w:spacing w:line="380" w:lineRule="exact"/>
        <w:ind w:left="633" w:hanging="422"/>
      </w:pPr>
      <w:r>
        <w:rPr>
          <w:rFonts w:hint="eastAsia"/>
        </w:rPr>
        <w:t>四、高鐵是高速幹線系統，其有賴地方捷運、公路客運與市區公車提供接駁轉乘服務，才能形成真正的高快速公共運輸完整路網。因此，高鐵班表優化的同時，應對於接駁系統同步優化，包含路線、營運班表、費率和資訊的整合。這些需要交通部和地方政府以及客運業者共同努力，也需要挹注適當經費。而台灣觀光發展在旅客疏運方面可以充分利用高鐵幹線與台灣好行巴士服務與各地特色景點、美食、文化形成套裝行程，這亦是交通部觀光局、台灣高鐵公司結合地方政府共同合作推動的方向。還有，台鐵和高鐵在南港、台北、板橋、新竹、台中、台南、與高雄等站已有共站整合設計，未來可以進一步強化雙鐵班表與費率整合。最後，台灣邁向高齡化社會，高鐵與整體公共運輸服務也必須同步思考，透過更佳的規劃實現通用設計的目標。</w:t>
      </w:r>
    </w:p>
    <w:p w:rsidR="00F20D04" w:rsidRPr="004029CE" w:rsidRDefault="00F20D04" w:rsidP="00F20D04">
      <w:pPr>
        <w:pStyle w:val="afb"/>
        <w:spacing w:beforeLines="100" w:before="335" w:line="420" w:lineRule="exact"/>
        <w:ind w:leftChars="0" w:left="1140" w:hangingChars="400" w:hanging="1140"/>
      </w:pPr>
      <w:r>
        <w:rPr>
          <w:rFonts w:hint="eastAsia"/>
        </w:rPr>
        <w:t>（十二）</w:t>
      </w:r>
      <w:r w:rsidRPr="004029CE">
        <w:rPr>
          <w:rFonts w:hint="eastAsia"/>
        </w:rPr>
        <w:t>本院許委員淑華，針對新政府一上台，便立刻下令撤回海巡和國軍艦艇在沖之鳥礁海域的護漁行動，因此要求行政院不能以密室協商的方式來操作台日外交，甚至犧牲漁權、開放福島食品來交換不知所以的政治利益。爰此，特向行政院提出質詢。</w:t>
      </w:r>
    </w:p>
    <w:p w:rsidR="00F20D04" w:rsidRPr="001374BC" w:rsidRDefault="00F20D04" w:rsidP="00F20D04">
      <w:pPr>
        <w:pStyle w:val="a4"/>
        <w:spacing w:line="240" w:lineRule="auto"/>
        <w:ind w:left="633" w:hanging="633"/>
      </w:pPr>
    </w:p>
    <w:p w:rsidR="00F20D04" w:rsidRDefault="00F20D04" w:rsidP="00F20D04">
      <w:pPr>
        <w:pStyle w:val="a4"/>
        <w:spacing w:line="380" w:lineRule="exact"/>
        <w:ind w:left="633" w:hanging="633"/>
      </w:pPr>
      <w:r>
        <w:rPr>
          <w:rFonts w:hint="eastAsia"/>
        </w:rPr>
        <w:t>說明：</w:t>
      </w:r>
    </w:p>
    <w:p w:rsidR="00F20D04" w:rsidRDefault="00F20D04" w:rsidP="00F20D04">
      <w:pPr>
        <w:pStyle w:val="afffff0"/>
        <w:spacing w:line="380" w:lineRule="exact"/>
        <w:ind w:left="633" w:hanging="422"/>
      </w:pPr>
      <w:r>
        <w:rPr>
          <w:rFonts w:hint="eastAsia"/>
        </w:rPr>
        <w:t>一、新政府一上台，便立刻下令撤回海巡和國軍艦艇在沖之鳥礁海域的護漁行動，引起社會譁然。行政院的說法是，我和日方七月將召開「台日海洋事務合作對話機制」，將就此進行協商。無巧不巧，日本媒體最近報導，我國將在七月放寬日本福島核災區縣市的食品進口。</w:t>
      </w:r>
    </w:p>
    <w:p w:rsidR="00F20D04" w:rsidRDefault="00F20D04" w:rsidP="00F20D04">
      <w:pPr>
        <w:pStyle w:val="afffff0"/>
        <w:spacing w:line="380" w:lineRule="exact"/>
        <w:ind w:left="633" w:hanging="422"/>
      </w:pPr>
      <w:r>
        <w:rPr>
          <w:rFonts w:hint="eastAsia"/>
        </w:rPr>
        <w:t>二、正當開放瘦肉精美豬的疑雲漫天，又傳出福島核災區的食品可能解禁，除讓人懷疑新政府把關食安的決心，也對新政府究竟與他國作了多少私下交易而憂心。儘管新政府官員澄清，一定會以民眾健康為優先考慮，但這一連串的訊息似非空穴來風，而有固定跡象可循。尤其，如果犧牲漁民在沖之鳥礁的作業權，又任意對福島食品進口鬆手，那簡直是雙重賣台行為，不可原諒。</w:t>
      </w:r>
    </w:p>
    <w:p w:rsidR="00F20D04" w:rsidRDefault="00F20D04" w:rsidP="00A75D4B">
      <w:pPr>
        <w:pStyle w:val="afffff0"/>
        <w:spacing w:line="390" w:lineRule="exact"/>
        <w:ind w:left="633" w:hanging="422"/>
      </w:pPr>
      <w:r>
        <w:rPr>
          <w:rFonts w:hint="eastAsia"/>
        </w:rPr>
        <w:t>三、謝長廷即將出使日本，邱義仁則接掌亞東關係協會，兩人日昨舉杯互賀，宣稱台日關係將進入「新階段」。然而，在護漁撤退及福島食品進軍在即的訊息夾擊下，不禁讓人為台日</w:t>
      </w:r>
      <w:r>
        <w:rPr>
          <w:rFonts w:hint="eastAsia"/>
        </w:rPr>
        <w:lastRenderedPageBreak/>
        <w:t>新關係究竟是何面貌感到憂慮。台日之間加強各種交流合作，無論在經貿、海洋或安全層面，都具有積極的意義，也值得樂觀其成。然而，這類外交運作絕不可流於「黑箱作業」，而須有公開透明的程序，且受到適當的監督；如果要拿民眾的權益和健康當籌碼，去交換政治人物想要的外交利益，則更是本末倒置的民主大忌。</w:t>
      </w:r>
    </w:p>
    <w:p w:rsidR="00F20D04" w:rsidRDefault="00F20D04" w:rsidP="00A75D4B">
      <w:pPr>
        <w:pStyle w:val="afffff0"/>
        <w:spacing w:line="390" w:lineRule="exact"/>
        <w:ind w:left="633" w:hanging="422"/>
      </w:pPr>
      <w:r>
        <w:rPr>
          <w:rFonts w:hint="eastAsia"/>
        </w:rPr>
        <w:t>四、民進黨一向因反中而過度親日，更讓人擔心的，是新政府與日本透過密室黑箱運作的利益交換，可能使國家的利益陷於損傷而不自知。民進黨只要想想自己過去如何質疑馬政府與對岸簽下的協議是「賣台」，就能想像人民對民進黨政府與日本之間的密室政治會有多少不安。何況，扁政府當年的「巴紐案」、「南線專案」和「安亞專案」，都是花大錢換來外交醜聞，民眾都還記憶猶新。</w:t>
      </w:r>
    </w:p>
    <w:p w:rsidR="00F20D04" w:rsidRDefault="00F20D04" w:rsidP="00A75D4B">
      <w:pPr>
        <w:pStyle w:val="afffff0"/>
        <w:spacing w:line="390" w:lineRule="exact"/>
        <w:ind w:left="633" w:hanging="422"/>
      </w:pPr>
      <w:r>
        <w:rPr>
          <w:rFonts w:hint="eastAsia"/>
        </w:rPr>
        <w:t>五、日本政壇盛行「密室政治」，這是人們熟知的事；這樣的密室文化將如何影響民進黨政府，則是我們關注的重點。新政府上任第三天，即宣稱將在七月底舉行「台日海洋事務合作對話機制」，這顯示，民進黨在野期間就與日本展開了密切協商。我國在沖之鳥礁巡護之艦艇立刻被召回，應該就是雙方協商的條件之一；而開放福島食品進口台灣，也可能是雙方談妥的默契之一。</w:t>
      </w:r>
    </w:p>
    <w:p w:rsidR="00F20D04" w:rsidRDefault="00F20D04" w:rsidP="00A75D4B">
      <w:pPr>
        <w:pStyle w:val="afffff0"/>
        <w:spacing w:line="390" w:lineRule="exact"/>
        <w:ind w:left="633" w:hanging="422"/>
      </w:pPr>
      <w:r>
        <w:rPr>
          <w:rFonts w:hint="eastAsia"/>
        </w:rPr>
        <w:t>六、更令人不安的是，這些訊息，我們卻是要看到日本媒體的報導方知其詳；而政府對此卻支吾其詞，無意誠實以告。外長李大維說，在外交上，保持「模糊」是很重要的原則。問題是，若非日本媒體披露我護漁船艦已離開沖之鳥礁海域，台灣民眾可能還被蒙在鼓裡；若非共同社報導我國將開放福島核區食品，國人還渾然不知。</w:t>
      </w:r>
    </w:p>
    <w:p w:rsidR="00F20D04" w:rsidRDefault="00F20D04" w:rsidP="00A75D4B">
      <w:pPr>
        <w:pStyle w:val="afffff0"/>
        <w:spacing w:line="390" w:lineRule="exact"/>
        <w:ind w:left="633" w:hanging="422"/>
      </w:pPr>
      <w:r>
        <w:rPr>
          <w:rFonts w:hint="eastAsia"/>
        </w:rPr>
        <w:t>七、進一步看，民進黨與日本透過政治親信進行密室協商，早在扁政府時代即已成形。我漁船在沖之鳥礁海域的作業規範，就是由當年國安會前秘書長邱義仁與日方達成的「不成文」默契：日本公務船進入沖之鳥礁海域前，會先向我漁業署發出預警，由漁業署通知在該海域捕魚的我國漁船暫時撤離。此舉，其實已默認了日本在沖之鳥礁擁有兩百浬經濟海域主權。如果不是這次東聖吉十六號被押事件，外界根本不知道兩國間原來存在這種不可告人的「潛規則」。民眾知的權利，在這種黑箱交易下，遭到可怕的踐踏。</w:t>
      </w:r>
    </w:p>
    <w:p w:rsidR="00F20D04" w:rsidRPr="004029CE" w:rsidRDefault="00F20D04" w:rsidP="00F20D04">
      <w:pPr>
        <w:pStyle w:val="afb"/>
        <w:spacing w:beforeLines="100" w:before="335" w:line="420" w:lineRule="exact"/>
        <w:ind w:leftChars="0" w:left="1140" w:hangingChars="400" w:hanging="1140"/>
      </w:pPr>
      <w:r>
        <w:rPr>
          <w:rFonts w:hint="eastAsia"/>
        </w:rPr>
        <w:t>（十三）</w:t>
      </w:r>
      <w:r w:rsidRPr="004029CE">
        <w:rPr>
          <w:rFonts w:hint="eastAsia"/>
        </w:rPr>
        <w:t>本院許委員淑華，針對國發會祭出三大策略，稱之為「促進民間投資的三駕馬車」，在台灣面臨工業生產指數年增率連</w:t>
      </w:r>
      <w:r w:rsidRPr="004029CE">
        <w:rPr>
          <w:rFonts w:hint="eastAsia"/>
        </w:rPr>
        <w:t>12</w:t>
      </w:r>
      <w:r w:rsidRPr="004029CE">
        <w:rPr>
          <w:rFonts w:hint="eastAsia"/>
        </w:rPr>
        <w:t>黑、外銷訂單年增率連</w:t>
      </w:r>
      <w:r w:rsidRPr="004029CE">
        <w:rPr>
          <w:rFonts w:hint="eastAsia"/>
        </w:rPr>
        <w:t>13</w:t>
      </w:r>
      <w:r w:rsidRPr="004029CE">
        <w:rPr>
          <w:rFonts w:hint="eastAsia"/>
        </w:rPr>
        <w:t>黑、對外出口年增率連</w:t>
      </w:r>
      <w:r w:rsidRPr="004029CE">
        <w:rPr>
          <w:rFonts w:hint="eastAsia"/>
        </w:rPr>
        <w:t>15</w:t>
      </w:r>
      <w:r w:rsidRPr="004029CE">
        <w:rPr>
          <w:rFonts w:hint="eastAsia"/>
        </w:rPr>
        <w:t>黑的光景下，無論是生產或外需都十分疲弱，基本上這三大策略在方向上和力道上都值得肯定。對於這三駕馬車，我們一方面寄予厚望，另一方面則有所憂心。因此要求行政院對「三駕馬車救台灣」計畫內容及定義要更加明確、對內及對外溝通要有效落實、計畫執行要貫徹始終。爰此，特向行政院提出質詢。</w:t>
      </w:r>
    </w:p>
    <w:p w:rsidR="00F20D04" w:rsidRPr="00194B17" w:rsidRDefault="00F20D04" w:rsidP="00F20D04">
      <w:pPr>
        <w:pStyle w:val="a4"/>
        <w:spacing w:line="240" w:lineRule="auto"/>
        <w:ind w:left="633" w:hanging="633"/>
      </w:pPr>
    </w:p>
    <w:p w:rsidR="00F20D04" w:rsidRDefault="00F20D04" w:rsidP="00F20D04">
      <w:pPr>
        <w:pStyle w:val="a4"/>
        <w:spacing w:line="380" w:lineRule="exact"/>
        <w:ind w:left="633" w:hanging="633"/>
      </w:pPr>
      <w:r>
        <w:rPr>
          <w:rFonts w:hint="eastAsia"/>
        </w:rPr>
        <w:lastRenderedPageBreak/>
        <w:t>說明：</w:t>
      </w:r>
    </w:p>
    <w:p w:rsidR="00F20D04" w:rsidRDefault="00F20D04" w:rsidP="00F20D04">
      <w:pPr>
        <w:pStyle w:val="afffff0"/>
        <w:spacing w:line="380" w:lineRule="exact"/>
        <w:ind w:left="633" w:hanging="422"/>
      </w:pPr>
      <w:r>
        <w:rPr>
          <w:rFonts w:hint="eastAsia"/>
        </w:rPr>
        <w:t>一、新政府上任，各部會都被要求必須施政百日有感，因而紛紛端出政策「牛肉」。上週三國發會主委陳添枝召開上任後首次記者會表示，國內目前經濟非常差，但與他</w:t>
      </w:r>
      <w:r>
        <w:rPr>
          <w:rFonts w:hint="eastAsia"/>
        </w:rPr>
        <w:t>2008</w:t>
      </w:r>
      <w:r>
        <w:rPr>
          <w:rFonts w:hint="eastAsia"/>
        </w:rPr>
        <w:t>年就任經建會（國發會前身）主委時大不相同，當時以發放消費券提振消費，目前則要提振投資，為了促進民間投資，振興台灣經濟，國發會祭出三大策略，稱之為「促進民間投資的三駕馬車」。</w:t>
      </w:r>
    </w:p>
    <w:p w:rsidR="00F20D04" w:rsidRDefault="00F20D04" w:rsidP="00F20D04">
      <w:pPr>
        <w:pStyle w:val="afffff0"/>
        <w:spacing w:line="380" w:lineRule="exact"/>
        <w:ind w:left="633" w:hanging="422"/>
      </w:pPr>
      <w:r>
        <w:rPr>
          <w:rFonts w:hint="eastAsia"/>
        </w:rPr>
        <w:t>二、國發會的「三駕馬車」包括：由國發基金向銀行融資新台幣</w:t>
      </w:r>
      <w:r>
        <w:rPr>
          <w:rFonts w:hint="eastAsia"/>
        </w:rPr>
        <w:t>1,000</w:t>
      </w:r>
      <w:r>
        <w:rPr>
          <w:rFonts w:hint="eastAsia"/>
        </w:rPr>
        <w:t>億元，設「產業創新轉型基金」，誘導企業投資；其次，設立</w:t>
      </w:r>
      <w:r>
        <w:rPr>
          <w:rFonts w:hint="eastAsia"/>
        </w:rPr>
        <w:t>100</w:t>
      </w:r>
      <w:r>
        <w:rPr>
          <w:rFonts w:hint="eastAsia"/>
        </w:rPr>
        <w:t>億元國家級投資貿易公司，配合南向政策，創造貿易及投資機會；第三、推動生物醫藥、綠能科技、智慧機械、國防航太以及亞洲矽谷等五大創新計畫。陳添枝認為這次景氣疲弱除了周期性問題，還有結構性問題，希望藉由這「三駕馬車」來找回台灣投資動能，振興台灣經濟。</w:t>
      </w:r>
    </w:p>
    <w:p w:rsidR="00F20D04" w:rsidRDefault="00F20D04" w:rsidP="00F20D04">
      <w:pPr>
        <w:pStyle w:val="afffff0"/>
        <w:spacing w:line="380" w:lineRule="exact"/>
        <w:ind w:left="633" w:hanging="422"/>
      </w:pPr>
      <w:r>
        <w:rPr>
          <w:rFonts w:hint="eastAsia"/>
        </w:rPr>
        <w:t>三、在台灣面臨工業生產指數年增率連</w:t>
      </w:r>
      <w:r>
        <w:rPr>
          <w:rFonts w:hint="eastAsia"/>
        </w:rPr>
        <w:t>12</w:t>
      </w:r>
      <w:r>
        <w:rPr>
          <w:rFonts w:hint="eastAsia"/>
        </w:rPr>
        <w:t>黑、外銷訂單年增率連</w:t>
      </w:r>
      <w:r>
        <w:rPr>
          <w:rFonts w:hint="eastAsia"/>
        </w:rPr>
        <w:t>13</w:t>
      </w:r>
      <w:r>
        <w:rPr>
          <w:rFonts w:hint="eastAsia"/>
        </w:rPr>
        <w:t>黑、對外出口年增率連</w:t>
      </w:r>
      <w:r>
        <w:rPr>
          <w:rFonts w:hint="eastAsia"/>
        </w:rPr>
        <w:t>15</w:t>
      </w:r>
      <w:r>
        <w:rPr>
          <w:rFonts w:hint="eastAsia"/>
        </w:rPr>
        <w:t>黑的光景下，無論是生產或外需都十分疲弱，基本上這三大策略在方向上和力道上都值得肯定。對於這三駕馬車，我們一方面寄予厚望，另一方面則有所憂心。因為這些年來，我們看到許多政策在推出時都轟轟烈烈，到頭來卻無疾而終。其中原因，有的情況是，遇到反對意見就被迫轉彎或縮水，最後呈現的面貌及內容與原先大相逕庭，此為「宰相有權能割地，孤臣無力可回天」類型；另外一種情況則是執行沒多久，就因為推動的部會首長更迭，接任者又推出另一套政策，使原先的政策未及開展，就灰飛煙滅，此為「出師未捷身先死，常使英雄淚滿襟」類型。因此，我們希望新政府此次的「三駕馬車」能不「重蹈覆轍」。</w:t>
      </w:r>
    </w:p>
    <w:p w:rsidR="00F20D04" w:rsidRDefault="00F20D04" w:rsidP="00F20D04">
      <w:pPr>
        <w:pStyle w:val="afffff0"/>
        <w:spacing w:line="380" w:lineRule="exact"/>
        <w:ind w:left="633" w:hanging="422"/>
      </w:pPr>
      <w:r>
        <w:rPr>
          <w:rFonts w:hint="eastAsia"/>
        </w:rPr>
        <w:t>四、要使「三駕馬車」，能不「重蹈覆轍」，首先要重視溝通，「三駕馬車」的內容要讓各界都清楚，不可像前朝當年推出「三業四化」政策，原本內容頗有可行之處，但直到經濟部長換人，行政院內相關部會還有不知道三業是哪三業，四化又是哪四化。有趣的是，根據維基百科的記載，「三業四化」政策仍在執行中；當然，政策沒有正式叫停，也可以勉強算是仍在執行中。</w:t>
      </w:r>
    </w:p>
    <w:p w:rsidR="00F20D04" w:rsidRDefault="00F20D04" w:rsidP="00F20D04">
      <w:pPr>
        <w:pStyle w:val="afffff0"/>
        <w:spacing w:line="380" w:lineRule="exact"/>
        <w:ind w:left="633" w:hanging="422"/>
      </w:pPr>
      <w:r>
        <w:rPr>
          <w:rFonts w:hint="eastAsia"/>
        </w:rPr>
        <w:t>五、政策除了要有效溝通以外，也要有執行力。當年經濟部「三業四化」政策獲得閣揆陳支持，並指示其他部會參照訂定計畫，經建會推出「傳統產業維新方案」，究竟是一別苗頭或是相輔相成，頗耐人尋味。這也是新政府在推「三駕馬車」時，要注意「三駕馬車」別變成「多頭馬車」，千萬不可「一人一把號，各吹各的調」。</w:t>
      </w:r>
    </w:p>
    <w:p w:rsidR="00F20D04" w:rsidRDefault="00F20D04" w:rsidP="00F20D04">
      <w:pPr>
        <w:pStyle w:val="afffff0"/>
        <w:spacing w:line="380" w:lineRule="exact"/>
        <w:ind w:left="633" w:hanging="422"/>
      </w:pPr>
      <w:r>
        <w:rPr>
          <w:rFonts w:hint="eastAsia"/>
        </w:rPr>
        <w:t>六、就「三駕馬車」個別的計畫內容而言，第一駕馬車是成立「產業創新轉型基金」（即過去所提的類主權基金）。規劃由國發基金向銀行融資</w:t>
      </w:r>
      <w:r>
        <w:rPr>
          <w:rFonts w:hint="eastAsia"/>
        </w:rPr>
        <w:t>1,000</w:t>
      </w:r>
      <w:r>
        <w:rPr>
          <w:rFonts w:hint="eastAsia"/>
        </w:rPr>
        <w:t>億元，設立這個基金來投資有意願在台灣投資的企業。不限於五大創新產業，也不限於中小企業，只要在國內投資，並創造就業機會者，都是這個基金注資的對象。雖然</w:t>
      </w:r>
      <w:r>
        <w:rPr>
          <w:rFonts w:hint="eastAsia"/>
        </w:rPr>
        <w:t>1,000</w:t>
      </w:r>
      <w:r>
        <w:rPr>
          <w:rFonts w:hint="eastAsia"/>
        </w:rPr>
        <w:t>億元乍看下似乎很多，但若如同記者會上所說「只要在國內投資，並創造就業機會者，都是這個基金注資的對象」，勢將發生僧多粥少現象，因此必須明確訂出「創新轉型」的明確標準，而且只有「創新轉型」的企業</w:t>
      </w:r>
      <w:r>
        <w:rPr>
          <w:rFonts w:hint="eastAsia"/>
        </w:rPr>
        <w:lastRenderedPageBreak/>
        <w:t>才可以被投資；如此，這個基金的設置才有意義。</w:t>
      </w:r>
    </w:p>
    <w:p w:rsidR="00F20D04" w:rsidRDefault="00F20D04" w:rsidP="00A75D4B">
      <w:pPr>
        <w:pStyle w:val="afffff0"/>
        <w:spacing w:line="390" w:lineRule="exact"/>
        <w:ind w:left="633" w:hanging="422"/>
      </w:pPr>
      <w:r>
        <w:rPr>
          <w:rFonts w:hint="eastAsia"/>
        </w:rPr>
        <w:t>七、第二駕馬車是成立國家級投資貿易公司，規劃中的這家公司兼具有貿易以及投資功能，目的是在整合、尋找及創造國內投資機會，以及協助中小企業赴東南亞及新興市場的貿易，未來會搭配「新南向政策」，預計這家公司的資本額為</w:t>
      </w:r>
      <w:r>
        <w:rPr>
          <w:rFonts w:hint="eastAsia"/>
        </w:rPr>
        <w:t>100</w:t>
      </w:r>
      <w:r>
        <w:rPr>
          <w:rFonts w:hint="eastAsia"/>
        </w:rPr>
        <w:t>億元，政府股不過半，但政府具主導權，以推動相關政策。一個資本額如此龐大而且兼具貿易與投資功能的公司，體制為民營事業但要推動政府相關政策，將來如何找到合適的領導人選，將是各界拭目以待的焦點。新政府在覓才方面，千萬不可政治酬庸，務要讓各界心服口服，這一駕馬車才能馬到成功。</w:t>
      </w:r>
    </w:p>
    <w:p w:rsidR="00F20D04" w:rsidRDefault="00F20D04" w:rsidP="00A75D4B">
      <w:pPr>
        <w:pStyle w:val="afffff0"/>
        <w:spacing w:line="390" w:lineRule="exact"/>
        <w:ind w:left="633" w:hanging="422"/>
      </w:pPr>
      <w:r>
        <w:rPr>
          <w:rFonts w:hint="eastAsia"/>
        </w:rPr>
        <w:t>八、第三駕馬車的五大創新研發產業是蔡英文競選政見之落實，分別為：一、以台南沙崙為中心的「綠能研發中心」；二、位於桃園的「亞洲矽谷計畫」，發展物聯網與智慧產品；三、以台北資安、台中航太、高雄船艦為中心的「國防產業聚落」；四、從中研院所在的南港園區、竹北生醫園區延伸到南科的「生技產業聚落」；五、位於台中的「智慧精密機械聚落」。這五大產業具備之共通性就是有內需的涵量、有在地化的特色，而且遍及台灣南北。這一駕馬車最為具體，顯然在選前已有相當慎密規劃，因此我們期盼的是務實執行，貫徹始終。</w:t>
      </w:r>
    </w:p>
    <w:p w:rsidR="00F20D04" w:rsidRPr="004029CE" w:rsidRDefault="00F20D04" w:rsidP="00F20D04">
      <w:pPr>
        <w:pStyle w:val="afb"/>
        <w:spacing w:beforeLines="100" w:before="335" w:line="420" w:lineRule="exact"/>
        <w:ind w:leftChars="0" w:left="1140" w:hangingChars="400" w:hanging="1140"/>
      </w:pPr>
      <w:r>
        <w:rPr>
          <w:rFonts w:hint="eastAsia"/>
        </w:rPr>
        <w:t>（十四）</w:t>
      </w:r>
      <w:r w:rsidRPr="004029CE">
        <w:rPr>
          <w:rFonts w:hint="eastAsia"/>
        </w:rPr>
        <w:t>本院許委員淑華，針對教育部今年編列一億多元預算，補助各縣市政府為學校設置電子圍籬，為有效維護校園安全，本席要求行政院應責成所屬相關機關，請警方加強校園內部及周邊巡邏，提高見警率，各級政府也應通盤檢討校園安全防護工作，檢視校園安全死角，整合家長、社區力量，布建完整的校園安全網。爰此，特向行政院提出質詢。</w:t>
      </w:r>
    </w:p>
    <w:p w:rsidR="00F20D04" w:rsidRPr="00194B17" w:rsidRDefault="00F20D04" w:rsidP="00F20D04">
      <w:pPr>
        <w:pStyle w:val="a4"/>
        <w:spacing w:line="240" w:lineRule="auto"/>
        <w:ind w:left="633" w:hanging="633"/>
      </w:pPr>
    </w:p>
    <w:p w:rsidR="00F20D04" w:rsidRDefault="00F20D04" w:rsidP="00F20D04">
      <w:pPr>
        <w:pStyle w:val="a4"/>
        <w:spacing w:line="380" w:lineRule="exact"/>
        <w:ind w:left="633" w:hanging="633"/>
      </w:pPr>
      <w:r>
        <w:rPr>
          <w:rFonts w:hint="eastAsia"/>
        </w:rPr>
        <w:t>說明：</w:t>
      </w:r>
    </w:p>
    <w:p w:rsidR="00F20D04" w:rsidRDefault="00F20D04" w:rsidP="00F20D04">
      <w:pPr>
        <w:pStyle w:val="afffff0"/>
        <w:spacing w:line="380" w:lineRule="exact"/>
        <w:ind w:left="633" w:hanging="422"/>
      </w:pPr>
      <w:r>
        <w:rPr>
          <w:rFonts w:hint="eastAsia"/>
        </w:rPr>
        <w:t>一、教育部今年編列一億多元預算，補助各縣市政府為學校設置電子圍籬。近年來校園安全頻頻亮起紅燈，電子圍籬雖具有監控、阻絕效果，但絕非保障學子的萬靈丹，有必要加強巡邏通報，避免閒雜人擅闖滋擾，彌補校園安全網的破洞。</w:t>
      </w:r>
    </w:p>
    <w:p w:rsidR="00F20D04" w:rsidRDefault="00F20D04" w:rsidP="00F20D04">
      <w:pPr>
        <w:pStyle w:val="afffff0"/>
        <w:spacing w:line="380" w:lineRule="exact"/>
        <w:ind w:left="633" w:hanging="422"/>
      </w:pPr>
      <w:r>
        <w:rPr>
          <w:rFonts w:hint="eastAsia"/>
        </w:rPr>
        <w:t>二、在「空間解嚴」、「讓高牆倒下吧！」等口號聲中，圍牆被視為威權的象徵，也是必欲推倒而後快的對象。台南市多年前開始推動「府城拆牆計」，重點在於公園、學校等公共建築「去圍牆化」，改以矮墩、樹籬、花籬、鏤空鋼柱或石柱與外界區隔，原有的圍牆逐步拆除，新建的公共建築物原則上一律不准設置圍牆。由於圍牆拆除後可增加穿透性，促進活動交流，頗獲社會好評，因此各縣市紛紛跟進拆牆。</w:t>
      </w:r>
    </w:p>
    <w:p w:rsidR="00F20D04" w:rsidRDefault="00F20D04" w:rsidP="00F20D04">
      <w:pPr>
        <w:pStyle w:val="afffff0"/>
        <w:spacing w:line="380" w:lineRule="exact"/>
        <w:ind w:left="633" w:hanging="422"/>
      </w:pPr>
      <w:r>
        <w:rPr>
          <w:rFonts w:hint="eastAsia"/>
        </w:rPr>
        <w:t>三、然而拆除圍牆之後，問題接踵而至，例如公園沒有圍牆，機車可以長驅直入，對散步運動的民眾安全造成威脅。理論上，校園應該有門禁管制，外人不能隨便進入，才能避免影響</w:t>
      </w:r>
      <w:r>
        <w:rPr>
          <w:rFonts w:hint="eastAsia"/>
        </w:rPr>
        <w:lastRenderedPageBreak/>
        <w:t>學生的生活作息或發生危安事件。校園沒了圍牆，有公德心的民眾尚能尊重校方的管理，對於部分居心不良者，則等於完全不設防，給了他們「侵門踏戶」、危害學生安全的機會。</w:t>
      </w:r>
    </w:p>
    <w:p w:rsidR="00F20D04" w:rsidRDefault="00F20D04" w:rsidP="00A75D4B">
      <w:pPr>
        <w:pStyle w:val="afffff0"/>
        <w:spacing w:line="390" w:lineRule="exact"/>
        <w:ind w:left="633" w:hanging="422"/>
      </w:pPr>
      <w:r>
        <w:rPr>
          <w:rFonts w:hint="eastAsia"/>
        </w:rPr>
        <w:t>四、有些「怪叔叔」、「變態狂」任意進入校園，學校女生遭騷擾、性侵事件時有所聞，令學生及家長聞之色變。去年五月台北市北投區某國小發生女童被闖入校園割喉致死案，使得拆除圍牆的「友善校園」政策，遭到社會各界的質疑與抨擊。</w:t>
      </w:r>
    </w:p>
    <w:p w:rsidR="00F20D04" w:rsidRDefault="00F20D04" w:rsidP="00A75D4B">
      <w:pPr>
        <w:pStyle w:val="afffff0"/>
        <w:spacing w:line="390" w:lineRule="exact"/>
        <w:ind w:left="633" w:hanging="422"/>
      </w:pPr>
      <w:r>
        <w:rPr>
          <w:rFonts w:hint="eastAsia"/>
        </w:rPr>
        <w:t>五、為維護沒有圍牆的學校安全，教育部去年補助台中及高雄五所學校校試辦裝設電子圍籬；台北市預計今年八月底完成一百零八所國小、三所女子高中電子圍籬裝設，明年底前完設五十九所國中電子圍籬防闖系統；台南市則只有三所學校提出裝設電子圍籬的申請。所謂電子圍籬，乃是在界限裝設多組監視攝影機，後端設</w:t>
      </w:r>
      <w:r>
        <w:rPr>
          <w:rFonts w:hint="eastAsia"/>
        </w:rPr>
        <w:t>3D</w:t>
      </w:r>
      <w:r>
        <w:rPr>
          <w:rFonts w:hint="eastAsia"/>
        </w:rPr>
        <w:t>演算模組，當有入侵者闖越偵測基點的警戒線時，系統便會發出警報訊息，通知警衛人員作出即時判斷與處置。</w:t>
      </w:r>
    </w:p>
    <w:p w:rsidR="00F20D04" w:rsidRDefault="00F20D04" w:rsidP="00A75D4B">
      <w:pPr>
        <w:pStyle w:val="afffff0"/>
        <w:spacing w:line="390" w:lineRule="exact"/>
        <w:ind w:left="633" w:hanging="422"/>
      </w:pPr>
      <w:r>
        <w:rPr>
          <w:rFonts w:hint="eastAsia"/>
        </w:rPr>
        <w:t>六、把有形的圍牆拆掉，改裝無形的電子圍籬，是不是多此一舉？裝電子圍籬先得花一大筆錢，還要有後續的管理維護，除了經費比較寬裕的台北市之外，其他縣市恐怕裝不起也「養」不起，更何況現在學校普遍人力緊縮，縱然有電子圍籬當「耳目」，若沒有足夠的人力隨時監控動靜，恐怕也無濟於事。</w:t>
      </w:r>
    </w:p>
    <w:p w:rsidR="00F20D04" w:rsidRPr="004029CE" w:rsidRDefault="00F20D04" w:rsidP="00A75D4B">
      <w:pPr>
        <w:pStyle w:val="afb"/>
        <w:spacing w:beforeLines="100" w:before="335" w:line="440" w:lineRule="exact"/>
        <w:ind w:leftChars="0" w:left="1140" w:hangingChars="400" w:hanging="1140"/>
      </w:pPr>
      <w:r>
        <w:rPr>
          <w:rFonts w:hint="eastAsia"/>
        </w:rPr>
        <w:t>（十五）</w:t>
      </w:r>
      <w:r w:rsidRPr="004029CE">
        <w:rPr>
          <w:rFonts w:hint="eastAsia"/>
        </w:rPr>
        <w:t>本院許委員淑華，鑒於今年第</w:t>
      </w:r>
      <w:r w:rsidRPr="004029CE">
        <w:rPr>
          <w:rFonts w:hint="eastAsia"/>
        </w:rPr>
        <w:t>1</w:t>
      </w:r>
      <w:r w:rsidRPr="004029CE">
        <w:rPr>
          <w:rFonts w:hint="eastAsia"/>
        </w:rPr>
        <w:t>季國內生產毛額（</w:t>
      </w:r>
      <w:r w:rsidRPr="004029CE">
        <w:rPr>
          <w:rFonts w:hint="eastAsia"/>
        </w:rPr>
        <w:t>GDP</w:t>
      </w:r>
      <w:r w:rsidRPr="004029CE">
        <w:rPr>
          <w:rFonts w:hint="eastAsia"/>
        </w:rPr>
        <w:t>）成長率仍為負</w:t>
      </w:r>
      <w:r w:rsidRPr="004029CE">
        <w:rPr>
          <w:rFonts w:hint="eastAsia"/>
        </w:rPr>
        <w:t>0.68%</w:t>
      </w:r>
      <w:r w:rsidRPr="004029CE">
        <w:rPr>
          <w:rFonts w:hint="eastAsia"/>
        </w:rPr>
        <w:t>，導致主計總處調降了今年經濟成長率預估，由原先的</w:t>
      </w:r>
      <w:r w:rsidRPr="004029CE">
        <w:rPr>
          <w:rFonts w:hint="eastAsia"/>
        </w:rPr>
        <w:t>1.47%</w:t>
      </w:r>
      <w:r w:rsidRPr="004029CE">
        <w:rPr>
          <w:rFonts w:hint="eastAsia"/>
        </w:rPr>
        <w:t>降為</w:t>
      </w:r>
      <w:r w:rsidRPr="004029CE">
        <w:rPr>
          <w:rFonts w:hint="eastAsia"/>
        </w:rPr>
        <w:t>1.06%</w:t>
      </w:r>
      <w:r w:rsidRPr="004029CE">
        <w:rPr>
          <w:rFonts w:hint="eastAsia"/>
        </w:rPr>
        <w:t>，雖然減少了</w:t>
      </w:r>
      <w:r w:rsidRPr="004029CE">
        <w:rPr>
          <w:rFonts w:hint="eastAsia"/>
        </w:rPr>
        <w:t>0.41</w:t>
      </w:r>
      <w:r w:rsidRPr="004029CE">
        <w:rPr>
          <w:rFonts w:hint="eastAsia"/>
        </w:rPr>
        <w:t>個百分點，但卻勉強「保</w:t>
      </w:r>
      <w:r w:rsidRPr="004029CE">
        <w:rPr>
          <w:rFonts w:hint="eastAsia"/>
        </w:rPr>
        <w:t>1</w:t>
      </w:r>
      <w:r w:rsidRPr="004029CE">
        <w:rPr>
          <w:rFonts w:hint="eastAsia"/>
        </w:rPr>
        <w:t>」。事實上，經濟成長的正本清源之計，還是要促進投資，因此要求行政院責成所屬相關機關，鼓勵民間，國內和國外的投資，並解決五缺─缺工、缺地、缺水、缺電、缺人才問題，提升官員待遇及素質、大力調整法規、改變預算體制。爰此，特向行政院提出質詢。</w:t>
      </w:r>
    </w:p>
    <w:p w:rsidR="00F20D04" w:rsidRPr="0011766E" w:rsidRDefault="00F20D04" w:rsidP="00A75D4B">
      <w:pPr>
        <w:pStyle w:val="a4"/>
        <w:spacing w:line="390" w:lineRule="exact"/>
        <w:ind w:left="633" w:hanging="633"/>
      </w:pPr>
    </w:p>
    <w:p w:rsidR="00F20D04" w:rsidRDefault="00F20D04" w:rsidP="00A75D4B">
      <w:pPr>
        <w:pStyle w:val="a4"/>
        <w:spacing w:line="390" w:lineRule="exact"/>
        <w:ind w:left="633" w:hanging="633"/>
      </w:pPr>
      <w:r>
        <w:rPr>
          <w:rFonts w:hint="eastAsia"/>
        </w:rPr>
        <w:t>說明：</w:t>
      </w:r>
    </w:p>
    <w:p w:rsidR="00F20D04" w:rsidRDefault="00F20D04" w:rsidP="00A75D4B">
      <w:pPr>
        <w:pStyle w:val="afffff0"/>
        <w:spacing w:line="390" w:lineRule="exact"/>
        <w:ind w:left="633" w:hanging="422"/>
      </w:pPr>
      <w:r>
        <w:rPr>
          <w:rFonts w:hint="eastAsia"/>
        </w:rPr>
        <w:t>一、今年第</w:t>
      </w:r>
      <w:r>
        <w:rPr>
          <w:rFonts w:hint="eastAsia"/>
        </w:rPr>
        <w:t>1</w:t>
      </w:r>
      <w:r>
        <w:rPr>
          <w:rFonts w:hint="eastAsia"/>
        </w:rPr>
        <w:t>季國內生產毛額（</w:t>
      </w:r>
      <w:r>
        <w:rPr>
          <w:rFonts w:hint="eastAsia"/>
        </w:rPr>
        <w:t>GDP</w:t>
      </w:r>
      <w:r>
        <w:rPr>
          <w:rFonts w:hint="eastAsia"/>
        </w:rPr>
        <w:t>）成長率仍為負</w:t>
      </w:r>
      <w:r>
        <w:rPr>
          <w:rFonts w:hint="eastAsia"/>
        </w:rPr>
        <w:t>0.68%</w:t>
      </w:r>
      <w:r>
        <w:rPr>
          <w:rFonts w:hint="eastAsia"/>
        </w:rPr>
        <w:t>，導致主計總處調降了今年經濟成長率預估，由原先的</w:t>
      </w:r>
      <w:r>
        <w:rPr>
          <w:rFonts w:hint="eastAsia"/>
        </w:rPr>
        <w:t>1.47%</w:t>
      </w:r>
      <w:r>
        <w:rPr>
          <w:rFonts w:hint="eastAsia"/>
        </w:rPr>
        <w:t>降為</w:t>
      </w:r>
      <w:r>
        <w:rPr>
          <w:rFonts w:hint="eastAsia"/>
        </w:rPr>
        <w:t>1.06%</w:t>
      </w:r>
      <w:r>
        <w:rPr>
          <w:rFonts w:hint="eastAsia"/>
        </w:rPr>
        <w:t>，雖然減少了</w:t>
      </w:r>
      <w:r>
        <w:rPr>
          <w:rFonts w:hint="eastAsia"/>
        </w:rPr>
        <w:t>0.41</w:t>
      </w:r>
      <w:r>
        <w:rPr>
          <w:rFonts w:hint="eastAsia"/>
        </w:rPr>
        <w:t>個百分點，但卻勉強「保</w:t>
      </w:r>
      <w:r>
        <w:rPr>
          <w:rFonts w:hint="eastAsia"/>
        </w:rPr>
        <w:t>1</w:t>
      </w:r>
      <w:r>
        <w:rPr>
          <w:rFonts w:hint="eastAsia"/>
        </w:rPr>
        <w:t>」。一般認為，出口貿易對台灣經濟成長有極重要的影響，只要國際需求旺盛，帶動出口，就會讓台灣經濟表現提升；相反地，一旦國際景氣欠佳，減少對我國出口需求，立刻導致台灣經濟成長受創。去年和今年的狀況就是如此。</w:t>
      </w:r>
    </w:p>
    <w:p w:rsidR="00F20D04" w:rsidRDefault="00F20D04" w:rsidP="00A75D4B">
      <w:pPr>
        <w:pStyle w:val="afffff0"/>
        <w:spacing w:line="390" w:lineRule="exact"/>
        <w:ind w:left="633" w:hanging="422"/>
      </w:pPr>
      <w:r>
        <w:rPr>
          <w:rFonts w:hint="eastAsia"/>
        </w:rPr>
        <w:t>二、然而，相對於上述的短期現象，對經濟中長期表現更重要的，應該是資本設備投資（或稱固定投資），因為資本設備一旦投入，可以影響好些年的經濟表現，深入影響到經濟各種</w:t>
      </w:r>
      <w:r>
        <w:rPr>
          <w:rFonts w:hint="eastAsia"/>
        </w:rPr>
        <w:lastRenderedPageBreak/>
        <w:t>層面，如就業量、薪資、上下游產業連鎖投資和就業效果。也因此，各國無不卯足勁大力促進資本設備投資。</w:t>
      </w:r>
    </w:p>
    <w:p w:rsidR="00F20D04" w:rsidRDefault="00F20D04" w:rsidP="00A75D4B">
      <w:pPr>
        <w:pStyle w:val="afffff0"/>
        <w:spacing w:line="390" w:lineRule="exact"/>
        <w:ind w:left="633" w:hanging="422"/>
      </w:pPr>
      <w:r>
        <w:rPr>
          <w:rFonts w:hint="eastAsia"/>
        </w:rPr>
        <w:t>三、我國過去訂有「獎勵投資條例」，後來又有接續的「促進產業升級條例」，都是吸引投資的專法，但和相互競爭的國家比較之下，資本設備投資表現一直不算理想。以資本設備投資占</w:t>
      </w:r>
      <w:r>
        <w:rPr>
          <w:rFonts w:hint="eastAsia"/>
        </w:rPr>
        <w:t>GDP</w:t>
      </w:r>
      <w:r>
        <w:rPr>
          <w:rFonts w:hint="eastAsia"/>
        </w:rPr>
        <w:t>的比例而言，</w:t>
      </w:r>
      <w:r>
        <w:rPr>
          <w:rFonts w:hint="eastAsia"/>
        </w:rPr>
        <w:t>1990</w:t>
      </w:r>
      <w:r>
        <w:rPr>
          <w:rFonts w:hint="eastAsia"/>
        </w:rPr>
        <w:t>年代之前約略在</w:t>
      </w:r>
      <w:r>
        <w:rPr>
          <w:rFonts w:hint="eastAsia"/>
        </w:rPr>
        <w:t>25~30%</w:t>
      </w:r>
      <w:r>
        <w:rPr>
          <w:rFonts w:hint="eastAsia"/>
        </w:rPr>
        <w:t>間；</w:t>
      </w:r>
      <w:r>
        <w:rPr>
          <w:rFonts w:hint="eastAsia"/>
        </w:rPr>
        <w:t>90</w:t>
      </w:r>
      <w:r>
        <w:rPr>
          <w:rFonts w:hint="eastAsia"/>
        </w:rPr>
        <w:t>年代後就只能維持在</w:t>
      </w:r>
      <w:r>
        <w:rPr>
          <w:rFonts w:hint="eastAsia"/>
        </w:rPr>
        <w:t>20~25%</w:t>
      </w:r>
      <w:r>
        <w:rPr>
          <w:rFonts w:hint="eastAsia"/>
        </w:rPr>
        <w:t>，在國際間並不算出色。以近五年（</w:t>
      </w:r>
      <w:r>
        <w:rPr>
          <w:rFonts w:hint="eastAsia"/>
        </w:rPr>
        <w:t>2010~2014</w:t>
      </w:r>
      <w:r>
        <w:rPr>
          <w:rFonts w:hint="eastAsia"/>
        </w:rPr>
        <w:t>）資本設備平均占比而言，台灣為</w:t>
      </w:r>
      <w:r>
        <w:rPr>
          <w:rFonts w:hint="eastAsia"/>
        </w:rPr>
        <w:t>23%</w:t>
      </w:r>
      <w:r>
        <w:rPr>
          <w:rFonts w:hint="eastAsia"/>
        </w:rPr>
        <w:t>，別說和中國大陸超高的</w:t>
      </w:r>
      <w:r>
        <w:rPr>
          <w:rFonts w:hint="eastAsia"/>
        </w:rPr>
        <w:t>47%</w:t>
      </w:r>
      <w:r>
        <w:rPr>
          <w:rFonts w:hint="eastAsia"/>
        </w:rPr>
        <w:t>完全無法比較，和「亞洲四小龍」的其他三小龍相比，也明顯低於韓國</w:t>
      </w:r>
      <w:r>
        <w:rPr>
          <w:rFonts w:hint="eastAsia"/>
        </w:rPr>
        <w:t>31%</w:t>
      </w:r>
      <w:r>
        <w:rPr>
          <w:rFonts w:hint="eastAsia"/>
        </w:rPr>
        <w:t>、新加坡</w:t>
      </w:r>
      <w:r>
        <w:rPr>
          <w:rFonts w:hint="eastAsia"/>
        </w:rPr>
        <w:t>28%</w:t>
      </w:r>
      <w:r>
        <w:rPr>
          <w:rFonts w:hint="eastAsia"/>
        </w:rPr>
        <w:t>，也稍低於香港</w:t>
      </w:r>
      <w:r>
        <w:rPr>
          <w:rFonts w:hint="eastAsia"/>
        </w:rPr>
        <w:t>24%</w:t>
      </w:r>
      <w:r>
        <w:rPr>
          <w:rFonts w:hint="eastAsia"/>
        </w:rPr>
        <w:t>。但香港經濟中，較不需設備投資的服務業占了</w:t>
      </w:r>
      <w:r>
        <w:rPr>
          <w:rFonts w:hint="eastAsia"/>
        </w:rPr>
        <w:t>93%</w:t>
      </w:r>
      <w:r>
        <w:rPr>
          <w:rFonts w:hint="eastAsia"/>
        </w:rPr>
        <w:t>，相形之下台灣落後香港更多。除非我國資本設備的生產力特別高，否則帶動經濟成長的效果當然相對有限。</w:t>
      </w:r>
    </w:p>
    <w:p w:rsidR="00F20D04" w:rsidRDefault="00F20D04" w:rsidP="00A75D4B">
      <w:pPr>
        <w:pStyle w:val="afffff0"/>
        <w:spacing w:line="390" w:lineRule="exact"/>
        <w:ind w:left="633" w:hanging="422"/>
      </w:pPr>
      <w:r>
        <w:rPr>
          <w:rFonts w:hint="eastAsia"/>
        </w:rPr>
        <w:t>四、事實上，創新能力不強的亞洲鄰國，都靠較高的資本設備投資率來帶動成長，如印度同期為</w:t>
      </w:r>
      <w:r>
        <w:rPr>
          <w:rFonts w:hint="eastAsia"/>
        </w:rPr>
        <w:t>34%</w:t>
      </w:r>
      <w:r>
        <w:rPr>
          <w:rFonts w:hint="eastAsia"/>
        </w:rPr>
        <w:t>、印尼為</w:t>
      </w:r>
      <w:r>
        <w:rPr>
          <w:rFonts w:hint="eastAsia"/>
        </w:rPr>
        <w:t>35%</w:t>
      </w:r>
      <w:r>
        <w:rPr>
          <w:rFonts w:hint="eastAsia"/>
        </w:rPr>
        <w:t>、越南為</w:t>
      </w:r>
      <w:r>
        <w:rPr>
          <w:rFonts w:hint="eastAsia"/>
        </w:rPr>
        <w:t>29%</w:t>
      </w:r>
      <w:r>
        <w:rPr>
          <w:rFonts w:hint="eastAsia"/>
        </w:rPr>
        <w:t>，泰國和馬來西亞也都超越台灣，只有菲律賓遜於台灣。已高度發展的瑞士和瑞典，其資本設備投資也都不亞於我國，難怪能維持製造創新的領先地位。而這應該是近年來我國經濟成長乏力，愈來愈依賴國際景氣的主要因素，值得主政者和相關部會重視。</w:t>
      </w:r>
    </w:p>
    <w:p w:rsidR="00F20D04" w:rsidRDefault="00F20D04" w:rsidP="00A75D4B">
      <w:pPr>
        <w:pStyle w:val="afffff0"/>
        <w:spacing w:line="390" w:lineRule="exact"/>
        <w:ind w:left="633" w:hanging="422"/>
      </w:pPr>
      <w:r>
        <w:rPr>
          <w:rFonts w:hint="eastAsia"/>
        </w:rPr>
        <w:t>五、投資不振當然有多方面的原因，工商界常提到的五缺─缺工、缺地、缺水、缺電、缺人才，一直未能有效解決。以「缺人才」為例，中央研究院提出研究報告後，馬前總統也說「人才外流」是「國安問題」，但迄今問題仍未解決，顯示台灣官僚體系已失去解決問題的能力，這是台灣未來發展的更重大危機。若新政府無法承受問題、對症下藥，台灣經濟將持續惡化。</w:t>
      </w:r>
    </w:p>
    <w:p w:rsidR="00F20D04" w:rsidRDefault="00F20D04" w:rsidP="00A75D4B">
      <w:pPr>
        <w:pStyle w:val="afffff0"/>
        <w:spacing w:line="390" w:lineRule="exact"/>
        <w:ind w:left="633" w:hanging="422"/>
      </w:pPr>
      <w:r>
        <w:rPr>
          <w:rFonts w:hint="eastAsia"/>
        </w:rPr>
        <w:t>六、無法解決問題的原因當然不少：首先，政府效能在減弱之中。由於社會愈複雜，公務員負責之事愈多，但員額卻又凍結、加班嚴重，薪水卻凍結；加上國會議員監督嚴苛，「有志青年」不願投入政府，官僚整體素質已經下降。</w:t>
      </w:r>
    </w:p>
    <w:p w:rsidR="00F20D04" w:rsidRDefault="00F20D04" w:rsidP="00A75D4B">
      <w:pPr>
        <w:pStyle w:val="afffff0"/>
        <w:spacing w:line="390" w:lineRule="exact"/>
        <w:ind w:left="633" w:hanging="422"/>
      </w:pPr>
      <w:r>
        <w:rPr>
          <w:rFonts w:hint="eastAsia"/>
        </w:rPr>
        <w:t>七、無論新舊政府，都強調「戰鬥內閣」，要有「百日維新」的績效讓外界刮目相看，因此無時無刻不在「炒短線、爭短效」，少人真正關心、處理核心問題。其實，阻礙投資的最重大關鍵在於舊法規無法調整來適應新社會，但調整法規費時耗力，雖有長遠效果，但卻無即時宣傳效果，因此修法能拖就拖，造成許多新投資無法可依，甚至成為「違法」狀態，影響投資至巨─「第三方支付」就是顯例，但此種現象普遍存在。</w:t>
      </w:r>
    </w:p>
    <w:p w:rsidR="00F20D04" w:rsidRDefault="00F20D04" w:rsidP="00A75D4B">
      <w:pPr>
        <w:pStyle w:val="afffff0"/>
        <w:spacing w:line="390" w:lineRule="exact"/>
        <w:ind w:left="633" w:hanging="422"/>
      </w:pPr>
      <w:r>
        <w:rPr>
          <w:rFonts w:hint="eastAsia"/>
        </w:rPr>
        <w:t>八、此外，主計總處應仿效新加坡改變預算體制，讓相關部會可以「借預算」來執行其新認定之重大方案，以帶動投資，也可以「保留」相當預算滾動到下個年度，不會以年底「消化預算」來造成浪費。</w:t>
      </w:r>
    </w:p>
    <w:p w:rsidR="00F20D04" w:rsidRPr="004029CE" w:rsidRDefault="00F20D04" w:rsidP="00F20D04">
      <w:pPr>
        <w:pStyle w:val="afb"/>
        <w:spacing w:beforeLines="100" w:before="335" w:line="420" w:lineRule="exact"/>
        <w:ind w:leftChars="0" w:left="1140" w:hangingChars="400" w:hanging="1140"/>
      </w:pPr>
      <w:r>
        <w:rPr>
          <w:rFonts w:hint="eastAsia"/>
        </w:rPr>
        <w:t>（十六）</w:t>
      </w:r>
      <w:r w:rsidRPr="004029CE">
        <w:rPr>
          <w:rFonts w:hint="eastAsia"/>
        </w:rPr>
        <w:t>本院許委員淑華，針對受到全球金融海嘯衝擊，台灣失業率一度攀升。二○○八年一月總體失業率為百分之三點八，到二○</w:t>
      </w:r>
      <w:r w:rsidRPr="004029CE">
        <w:rPr>
          <w:rFonts w:hint="eastAsia"/>
        </w:rPr>
        <w:lastRenderedPageBreak/>
        <w:t>○九年七月攀上百分之六點零四高峰，去年平均失業率則降到百分之三點八九。至今青年就業問題依舊嚴峻，青年薪資問題也在社會中引起諸多討論。在畢業季節，要求行政院應從各個層面協助青年就業，讓青年獲得合理的待遇。青年有希望，台灣就有希望。爰此，特向行政院提出質詢。</w:t>
      </w:r>
    </w:p>
    <w:p w:rsidR="00F20D04" w:rsidRPr="0011766E" w:rsidRDefault="00F20D04" w:rsidP="00A75D4B">
      <w:pPr>
        <w:pStyle w:val="a4"/>
        <w:spacing w:line="390" w:lineRule="exact"/>
        <w:ind w:left="633" w:hanging="633"/>
      </w:pPr>
    </w:p>
    <w:p w:rsidR="00F20D04" w:rsidRDefault="00F20D04" w:rsidP="00A75D4B">
      <w:pPr>
        <w:pStyle w:val="a4"/>
        <w:spacing w:line="390" w:lineRule="exact"/>
        <w:ind w:left="633" w:hanging="633"/>
      </w:pPr>
      <w:r>
        <w:rPr>
          <w:rFonts w:hint="eastAsia"/>
        </w:rPr>
        <w:t>說明：</w:t>
      </w:r>
    </w:p>
    <w:p w:rsidR="00F20D04" w:rsidRDefault="00F20D04" w:rsidP="00A75D4B">
      <w:pPr>
        <w:pStyle w:val="afffff0"/>
        <w:spacing w:line="390" w:lineRule="exact"/>
        <w:ind w:left="633" w:hanging="422"/>
      </w:pPr>
      <w:r>
        <w:rPr>
          <w:rFonts w:hint="eastAsia"/>
        </w:rPr>
        <w:t>一、鳳凰花開，又是畢業時節。一九八○年代前後，「畢業即失業」的說法即已流傳於口耳之間，至今青年就業問題依舊嚴峻，青年薪資問題也在社會中引起諸多討論。在畢業季節，政府應從各個層面協助青年就業，讓青年獲得合理的待遇。青年有希望，台灣就有希望。</w:t>
      </w:r>
    </w:p>
    <w:p w:rsidR="00F20D04" w:rsidRDefault="00F20D04" w:rsidP="00A75D4B">
      <w:pPr>
        <w:pStyle w:val="afffff0"/>
        <w:spacing w:line="390" w:lineRule="exact"/>
        <w:ind w:left="633" w:hanging="422"/>
      </w:pPr>
      <w:r>
        <w:rPr>
          <w:rFonts w:hint="eastAsia"/>
        </w:rPr>
        <w:t>二、根據行政院主計總處統計，今年四月份全台灣十五歲以上人口數為一千九百九十餘萬人，其中十五到十九歲有一百四十七萬多人，二十歲到二十四歲有一百四十九萬多人，二十五到二十九歲有一百五十一萬多人。這三個組別合計的人口數將近四百五十萬人。無論他們是什麼學歷，這四百多萬人大多是社會新鮮人，能否充分就業事關重大。</w:t>
      </w:r>
    </w:p>
    <w:p w:rsidR="00F20D04" w:rsidRDefault="00F20D04" w:rsidP="00A75D4B">
      <w:pPr>
        <w:pStyle w:val="afffff0"/>
        <w:spacing w:line="390" w:lineRule="exact"/>
        <w:ind w:left="633" w:hanging="422"/>
      </w:pPr>
      <w:r>
        <w:rPr>
          <w:rFonts w:hint="eastAsia"/>
        </w:rPr>
        <w:t>三、受到全球金融海嘯衝擊，台灣失業率一度攀升。二○○八年一月總體失業率為百分之三點八，到二○○九年七月攀上百分之六點零四高峰，去年平均失業率則降到百分之三點八九。就數據來看，台灣總體失業率已擺脫金融海嘯陰霾。</w:t>
      </w:r>
    </w:p>
    <w:p w:rsidR="00F20D04" w:rsidRDefault="00F20D04" w:rsidP="00A75D4B">
      <w:pPr>
        <w:pStyle w:val="afffff0"/>
        <w:spacing w:line="390" w:lineRule="exact"/>
        <w:ind w:left="633" w:hanging="422"/>
      </w:pPr>
      <w:r>
        <w:rPr>
          <w:rFonts w:hint="eastAsia"/>
        </w:rPr>
        <w:t>四、但若以年齡層分析，青年失業率並沒有緩解跡象，甚至還繼續走高。二○○八年十五到十九歲、二十到二十四歲、二十五到二十九歲的平均失業率依次為百分之十一點四二、十一點八九、六點三八；去年這三個年齡層的平均失業率則依次為百分之八點六五、十二點三七、六點七九。數據顯示，青年失業問題更加嚴重，而每年六、七月更凸顯此一問題。</w:t>
      </w:r>
    </w:p>
    <w:p w:rsidR="00F20D04" w:rsidRDefault="00F20D04" w:rsidP="00A75D4B">
      <w:pPr>
        <w:pStyle w:val="afffff0"/>
        <w:spacing w:line="390" w:lineRule="exact"/>
        <w:ind w:left="633" w:hanging="422"/>
      </w:pPr>
      <w:r>
        <w:rPr>
          <w:rFonts w:hint="eastAsia"/>
        </w:rPr>
        <w:t>五、造成青年就業難的原因很多，首先是產學落差問題。中華人力資源管理協會在「二○一四年台灣人力資源白皮書」指出，人才供給數量在理工科系和文法商科技的比例失衡。雖然高等教育較過去培育出多三倍的大學畢業生，但卻未能有效媒合產業需求。改變教育制度以縮小產學落差是個長期工程，政府更必須刻不容緩的著手解決，否則此一問題仍將讓許多青年學子身陷失業之苦。</w:t>
      </w:r>
    </w:p>
    <w:p w:rsidR="00F20D04" w:rsidRDefault="00F20D04" w:rsidP="00A75D4B">
      <w:pPr>
        <w:pStyle w:val="afffff0"/>
        <w:spacing w:line="390" w:lineRule="exact"/>
        <w:ind w:left="633" w:hanging="422"/>
      </w:pPr>
      <w:r>
        <w:rPr>
          <w:rFonts w:hint="eastAsia"/>
        </w:rPr>
        <w:t>六、其次，青年就業心態也必須更加積極。自二十世紀末、二十一世紀初以來，未就業、未就學、未受職訓的「尼特族」逐漸成為全球許多國家必須面對的問題。據估計，二○一二年台灣有四十七點二萬尼特族，以近年青年失業率偏高的情況推測，此一數字恐怕有增無減。尼特族大多就業意願低落，面對尼特族，除了家庭內要積極鼓勵其自立、付出關懷、協助尋找就業興趣之外，政府也應適當導引尼特族走入職場、接受職訓，讓他們建立就業的自信心。</w:t>
      </w:r>
    </w:p>
    <w:p w:rsidR="00F20D04" w:rsidRDefault="00F20D04" w:rsidP="00A75D4B">
      <w:pPr>
        <w:pStyle w:val="afffff0"/>
        <w:spacing w:line="390" w:lineRule="exact"/>
        <w:ind w:left="633" w:hanging="422"/>
      </w:pPr>
      <w:r>
        <w:rPr>
          <w:rFonts w:hint="eastAsia"/>
        </w:rPr>
        <w:t>七、此外，在景氣低迷之際，政府也須注意企業進用青年的意願。根據某人力銀行二十七日公布的調查，受訪企業願意進用社會新鮮人的比例為百分之七十五點八，較去年大減十九個</w:t>
      </w:r>
      <w:r>
        <w:rPr>
          <w:rFonts w:hint="eastAsia"/>
        </w:rPr>
        <w:lastRenderedPageBreak/>
        <w:t>百分點，主要原因在於「沒有適合新鮮人的職缺」、「過去進用經驗不佳」、「實作經驗不足」。政府應密切注意此一現象，設法提供企業聘用社會新鮮人的誘因。</w:t>
      </w:r>
    </w:p>
    <w:p w:rsidR="00F20D04" w:rsidRDefault="00F20D04" w:rsidP="00A75D4B">
      <w:pPr>
        <w:pStyle w:val="afffff0"/>
        <w:spacing w:line="390" w:lineRule="exact"/>
        <w:ind w:left="633" w:hanging="422"/>
      </w:pPr>
      <w:r>
        <w:rPr>
          <w:rFonts w:hint="eastAsia"/>
        </w:rPr>
        <w:t>八、蔡英文政府還有責任打破低薪對青年所造成的就業障礙。選舉期間，綠營動輒批評馬英九政府造成二十二</w:t>
      </w:r>
      <w:r>
        <w:rPr>
          <w:rFonts w:hint="eastAsia"/>
        </w:rPr>
        <w:t>K</w:t>
      </w:r>
      <w:r>
        <w:rPr>
          <w:rFonts w:hint="eastAsia"/>
        </w:rPr>
        <w:t>問題。但根據勞動部公布的資料，二○一四年十月十五到二十九歲青年勞工的平均薪資將近兩萬九千元，二十五到二十九歲更達三萬一千多元，遠高於二十二</w:t>
      </w:r>
      <w:r>
        <w:rPr>
          <w:rFonts w:hint="eastAsia"/>
        </w:rPr>
        <w:t>K</w:t>
      </w:r>
      <w:r>
        <w:rPr>
          <w:rFonts w:hint="eastAsia"/>
        </w:rPr>
        <w:t>。選舉已過，蔡英文已經當家，更有責任與義務消滅此一魔咒。</w:t>
      </w:r>
    </w:p>
    <w:p w:rsidR="00A75D4B" w:rsidRPr="00A75D4B" w:rsidRDefault="00A75D4B" w:rsidP="00A75D4B">
      <w:r>
        <w:br w:type="page"/>
      </w:r>
      <w:bookmarkStart w:id="0" w:name="_GoBack"/>
      <w:bookmarkEnd w:id="0"/>
    </w:p>
    <w:sectPr w:rsidR="00A75D4B" w:rsidRPr="00A75D4B" w:rsidSect="00A75D4B">
      <w:headerReference w:type="even" r:id="rId9"/>
      <w:headerReference w:type="default" r:id="rId10"/>
      <w:footerReference w:type="even" r:id="rId11"/>
      <w:footerReference w:type="default" r:id="rId12"/>
      <w:type w:val="continuous"/>
      <w:pgSz w:w="11906" w:h="16838" w:code="9"/>
      <w:pgMar w:top="1984" w:right="1417" w:bottom="1417" w:left="1417" w:header="1417" w:footer="850" w:gutter="0"/>
      <w:pgNumType w:start="286"/>
      <w:cols w:space="720"/>
      <w:docGrid w:type="linesAndChars" w:linePitch="335" w:charSpace="20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21570" w:rsidRDefault="00621570">
      <w:r>
        <w:separator/>
      </w:r>
    </w:p>
  </w:endnote>
  <w:endnote w:type="continuationSeparator" w:id="0">
    <w:p w:rsidR="00621570" w:rsidRDefault="006215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華康細明體">
    <w:panose1 w:val="02010609010101010101"/>
    <w:charset w:val="88"/>
    <w:family w:val="modern"/>
    <w:pitch w:val="fixed"/>
    <w:sig w:usb0="80000001" w:usb1="28091800" w:usb2="00000016" w:usb3="00000000" w:csb0="00100000" w:csb1="00000000"/>
  </w:font>
  <w:font w:name="Arial">
    <w:panose1 w:val="020B0604020202020204"/>
    <w:charset w:val="00"/>
    <w:family w:val="swiss"/>
    <w:pitch w:val="variable"/>
    <w:sig w:usb0="E0002AFF" w:usb1="C0007843" w:usb2="00000009" w:usb3="00000000" w:csb0="000001FF" w:csb1="00000000"/>
  </w:font>
  <w:font w:name="方正新書宋">
    <w:altName w:val="標楷體"/>
    <w:charset w:val="88"/>
    <w:family w:val="script"/>
    <w:pitch w:val="fixed"/>
    <w:sig w:usb0="00000001" w:usb1="080E0000" w:usb2="00000010" w:usb3="00000000" w:csb0="00100000" w:csb1="00000000"/>
  </w:font>
  <w:font w:name="華康楷書體W5">
    <w:panose1 w:val="02010609010101010101"/>
    <w:charset w:val="88"/>
    <w:family w:val="script"/>
    <w:pitch w:val="fixed"/>
    <w:sig w:usb0="80000001" w:usb1="28091800" w:usb2="00000016" w:usb3="00000000" w:csb0="00100000" w:csb1="00000000"/>
  </w:font>
  <w:font w:name="華康中黑體">
    <w:panose1 w:val="02010609010101010101"/>
    <w:charset w:val="88"/>
    <w:family w:val="modern"/>
    <w:pitch w:val="fixed"/>
    <w:sig w:usb0="80000001" w:usb1="28091800" w:usb2="00000016" w:usb3="00000000" w:csb0="001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5D4B" w:rsidRDefault="00AF32F8">
    <w:pPr>
      <w:pStyle w:val="afff9"/>
    </w:pPr>
    <w:r>
      <w:pict>
        <v:shapetype id="_x0000_t202" coordsize="21600,21600" o:spt="202" path="m,l,21600r21600,l21600,xe">
          <v:stroke joinstyle="miter"/>
          <v:path gradientshapeok="t" o:connecttype="rect"/>
        </v:shapetype>
        <v:shape id="_x0000_s2053" type="#_x0000_t202" style="position:absolute;left:0;text-align:left;margin-left:.05pt;margin-top:-10.9pt;width:453.55pt;height:31.5pt;z-index:251656192;mso-wrap-style:tight" filled="f" stroked="f">
          <v:textbox>
            <w:txbxContent>
              <w:p w:rsidR="00A75D4B" w:rsidRPr="00A75D4B" w:rsidRDefault="00A75D4B" w:rsidP="00A75D4B">
                <w:pPr>
                  <w:spacing w:line="210" w:lineRule="exact"/>
                  <w:jc w:val="center"/>
                </w:pPr>
                <w:r>
                  <w:fldChar w:fldCharType="begin"/>
                </w:r>
                <w:r>
                  <w:instrText xml:space="preserve"> PAGE  \* MERGEFORMAT </w:instrText>
                </w:r>
                <w:r>
                  <w:fldChar w:fldCharType="separate"/>
                </w:r>
                <w:r w:rsidR="00AF32F8">
                  <w:t>304</w:t>
                </w:r>
                <w:r>
                  <w:fldChar w:fldCharType="end"/>
                </w: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5D4B" w:rsidRDefault="00AF32F8">
    <w:pPr>
      <w:pStyle w:val="afff9"/>
    </w:pPr>
    <w:r>
      <w:pict>
        <v:shapetype id="_x0000_t202" coordsize="21600,21600" o:spt="202" path="m,l,21600r21600,l21600,xe">
          <v:stroke joinstyle="miter"/>
          <v:path gradientshapeok="t" o:connecttype="rect"/>
        </v:shapetype>
        <v:shape id="_x0000_s2055" type="#_x0000_t202" style="position:absolute;left:0;text-align:left;margin-left:.05pt;margin-top:-10.9pt;width:453.55pt;height:31.5pt;z-index:251658240;mso-wrap-style:tight" filled="f" stroked="f">
          <v:textbox>
            <w:txbxContent>
              <w:p w:rsidR="00A75D4B" w:rsidRPr="00A75D4B" w:rsidRDefault="00A75D4B" w:rsidP="00A75D4B">
                <w:pPr>
                  <w:spacing w:line="210" w:lineRule="exact"/>
                  <w:jc w:val="center"/>
                </w:pPr>
                <w:r>
                  <w:fldChar w:fldCharType="begin"/>
                </w:r>
                <w:r>
                  <w:instrText xml:space="preserve"> PAGE  \* MERGEFORMAT </w:instrText>
                </w:r>
                <w:r>
                  <w:fldChar w:fldCharType="separate"/>
                </w:r>
                <w:r w:rsidR="00AF32F8">
                  <w:t>303</w:t>
                </w:r>
                <w:r>
                  <w:fldChar w:fldCharType="end"/>
                </w:r>
              </w:p>
            </w:txbxContent>
          </v:textbox>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21570" w:rsidRDefault="00621570">
      <w:r>
        <w:separator/>
      </w:r>
    </w:p>
  </w:footnote>
  <w:footnote w:type="continuationSeparator" w:id="0">
    <w:p w:rsidR="00621570" w:rsidRDefault="0062157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5D4B" w:rsidRDefault="00AF32F8">
    <w:pPr>
      <w:pStyle w:val="afffa"/>
    </w:pPr>
    <w:r>
      <w:pict>
        <v:shapetype id="_x0000_t202" coordsize="21600,21600" o:spt="202" path="m,l,21600r21600,l21600,xe">
          <v:stroke joinstyle="miter"/>
          <v:path gradientshapeok="t" o:connecttype="rect"/>
        </v:shapetype>
        <v:shape id="_x0000_s2054" type="#_x0000_t202" style="position:absolute;left:0;text-align:left;margin-left:.05pt;margin-top:-10.85pt;width:453.55pt;height:30pt;z-index:251657216;mso-wrap-style:tight" filled="f" stroked="f">
          <v:textbox>
            <w:txbxContent>
              <w:p w:rsidR="00A75D4B" w:rsidRPr="00A75D4B" w:rsidRDefault="00A75D4B" w:rsidP="00A75D4B">
                <w:pPr>
                  <w:spacing w:line="294" w:lineRule="exact"/>
                  <w:jc w:val="left"/>
                </w:pPr>
                <w:r>
                  <w:rPr>
                    <w:rFonts w:hint="eastAsia"/>
                  </w:rPr>
                  <w:t>立法院公報　第</w:t>
                </w:r>
                <w:r>
                  <w:rPr>
                    <w:rFonts w:hint="eastAsia"/>
                  </w:rPr>
                  <w:t>105</w:t>
                </w:r>
                <w:r>
                  <w:rPr>
                    <w:rFonts w:hint="eastAsia"/>
                  </w:rPr>
                  <w:t>卷　第</w:t>
                </w:r>
                <w:r>
                  <w:rPr>
                    <w:rFonts w:hint="eastAsia"/>
                  </w:rPr>
                  <w:t>44</w:t>
                </w:r>
                <w:r>
                  <w:rPr>
                    <w:rFonts w:hint="eastAsia"/>
                  </w:rPr>
                  <w:t>期　院會紀錄</w:t>
                </w:r>
              </w:p>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5D4B" w:rsidRDefault="00AF32F8">
    <w:pPr>
      <w:pStyle w:val="afffa"/>
    </w:pPr>
    <w:r>
      <w:pict>
        <v:shapetype id="_x0000_t202" coordsize="21600,21600" o:spt="202" path="m,l,21600r21600,l21600,xe">
          <v:stroke joinstyle="miter"/>
          <v:path gradientshapeok="t" o:connecttype="rect"/>
        </v:shapetype>
        <v:shape id="_x0000_s2056" type="#_x0000_t202" style="position:absolute;left:0;text-align:left;margin-left:.05pt;margin-top:-10.85pt;width:453.55pt;height:30pt;z-index:251659264;mso-wrap-style:tight" filled="f" stroked="f">
          <v:textbox>
            <w:txbxContent>
              <w:p w:rsidR="00A75D4B" w:rsidRPr="00A75D4B" w:rsidRDefault="00A75D4B" w:rsidP="00A75D4B">
                <w:pPr>
                  <w:spacing w:line="294" w:lineRule="exact"/>
                  <w:jc w:val="right"/>
                </w:pPr>
                <w:r>
                  <w:rPr>
                    <w:rFonts w:hint="eastAsia"/>
                  </w:rPr>
                  <w:t>立法院公報　第</w:t>
                </w:r>
                <w:r>
                  <w:rPr>
                    <w:rFonts w:hint="eastAsia"/>
                  </w:rPr>
                  <w:t>105</w:t>
                </w:r>
                <w:r>
                  <w:rPr>
                    <w:rFonts w:hint="eastAsia"/>
                  </w:rPr>
                  <w:t>卷　第</w:t>
                </w:r>
                <w:r>
                  <w:rPr>
                    <w:rFonts w:hint="eastAsia"/>
                  </w:rPr>
                  <w:t>44</w:t>
                </w:r>
                <w:r>
                  <w:rPr>
                    <w:rFonts w:hint="eastAsia"/>
                  </w:rPr>
                  <w:t>期　院會紀錄</w:t>
                </w:r>
              </w:p>
            </w:txbxContent>
          </v:textbox>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5061F2"/>
    <w:multiLevelType w:val="hybridMultilevel"/>
    <w:tmpl w:val="B310128E"/>
    <w:lvl w:ilvl="0" w:tplc="596864FC">
      <w:start w:val="1"/>
      <w:numFmt w:val="taiwaneseCountingThousand"/>
      <w:lvlText w:val="%1、"/>
      <w:lvlJc w:val="left"/>
      <w:pPr>
        <w:tabs>
          <w:tab w:val="num" w:pos="420"/>
        </w:tabs>
        <w:ind w:left="420" w:hanging="4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ttachedTemplate r:id="rId1"/>
  <w:doNotTrackMoves/>
  <w:defaultTabStop w:val="480"/>
  <w:autoHyphenation/>
  <w:hyphenationZone w:val="142"/>
  <w:evenAndOddHeaders/>
  <w:drawingGridHorizontalSpacing w:val="211"/>
  <w:drawingGridVerticalSpacing w:val="335"/>
  <w:displayHorizontalDrawingGridEvery w:val="0"/>
  <w:noPunctuationKerning/>
  <w:characterSpacingControl w:val="doNotCompress"/>
  <w:hdrShapeDefaults>
    <o:shapedefaults v:ext="edit" spidmax="2061"/>
    <o:shapelayout v:ext="edit">
      <o:idmap v:ext="edit" data="2"/>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62A17"/>
    <w:rsid w:val="00021974"/>
    <w:rsid w:val="000322E4"/>
    <w:rsid w:val="00034179"/>
    <w:rsid w:val="0006260D"/>
    <w:rsid w:val="0007483B"/>
    <w:rsid w:val="00092EFA"/>
    <w:rsid w:val="000D2076"/>
    <w:rsid w:val="000E3372"/>
    <w:rsid w:val="001132D3"/>
    <w:rsid w:val="00123301"/>
    <w:rsid w:val="00130626"/>
    <w:rsid w:val="001346DF"/>
    <w:rsid w:val="00152E55"/>
    <w:rsid w:val="00174DC3"/>
    <w:rsid w:val="001776A7"/>
    <w:rsid w:val="00192966"/>
    <w:rsid w:val="00193EEB"/>
    <w:rsid w:val="001A5138"/>
    <w:rsid w:val="001A7C69"/>
    <w:rsid w:val="001E1A19"/>
    <w:rsid w:val="001E385A"/>
    <w:rsid w:val="00235073"/>
    <w:rsid w:val="00235BD9"/>
    <w:rsid w:val="00240FA3"/>
    <w:rsid w:val="00243679"/>
    <w:rsid w:val="00252A12"/>
    <w:rsid w:val="00293B0A"/>
    <w:rsid w:val="002A04DC"/>
    <w:rsid w:val="002A509E"/>
    <w:rsid w:val="002C335B"/>
    <w:rsid w:val="00355CB3"/>
    <w:rsid w:val="00362E94"/>
    <w:rsid w:val="00372E8D"/>
    <w:rsid w:val="003A00D7"/>
    <w:rsid w:val="003B341B"/>
    <w:rsid w:val="00400E2E"/>
    <w:rsid w:val="004047CB"/>
    <w:rsid w:val="004126B4"/>
    <w:rsid w:val="00441B24"/>
    <w:rsid w:val="00473B4E"/>
    <w:rsid w:val="004E74DF"/>
    <w:rsid w:val="00542984"/>
    <w:rsid w:val="00552448"/>
    <w:rsid w:val="00621570"/>
    <w:rsid w:val="00632430"/>
    <w:rsid w:val="00655703"/>
    <w:rsid w:val="006873C4"/>
    <w:rsid w:val="006B2CB0"/>
    <w:rsid w:val="006C7F9F"/>
    <w:rsid w:val="006D7D23"/>
    <w:rsid w:val="006E2402"/>
    <w:rsid w:val="006E3C20"/>
    <w:rsid w:val="006F5861"/>
    <w:rsid w:val="00722A05"/>
    <w:rsid w:val="00732BD2"/>
    <w:rsid w:val="00781901"/>
    <w:rsid w:val="00794FA3"/>
    <w:rsid w:val="007A1C27"/>
    <w:rsid w:val="007C4084"/>
    <w:rsid w:val="007D04A0"/>
    <w:rsid w:val="007E74DC"/>
    <w:rsid w:val="007F7A16"/>
    <w:rsid w:val="00863C32"/>
    <w:rsid w:val="00864C67"/>
    <w:rsid w:val="00883D74"/>
    <w:rsid w:val="008B4209"/>
    <w:rsid w:val="008E5D88"/>
    <w:rsid w:val="0090241A"/>
    <w:rsid w:val="00926F56"/>
    <w:rsid w:val="00963798"/>
    <w:rsid w:val="00992003"/>
    <w:rsid w:val="009C16B2"/>
    <w:rsid w:val="009C3904"/>
    <w:rsid w:val="00A05B7F"/>
    <w:rsid w:val="00A0600A"/>
    <w:rsid w:val="00A13259"/>
    <w:rsid w:val="00A32A9C"/>
    <w:rsid w:val="00A678DC"/>
    <w:rsid w:val="00A75D4B"/>
    <w:rsid w:val="00A80A44"/>
    <w:rsid w:val="00A86BD4"/>
    <w:rsid w:val="00A876DC"/>
    <w:rsid w:val="00AA2ADF"/>
    <w:rsid w:val="00AC692A"/>
    <w:rsid w:val="00AC6A09"/>
    <w:rsid w:val="00AF32F8"/>
    <w:rsid w:val="00B278AB"/>
    <w:rsid w:val="00B40364"/>
    <w:rsid w:val="00B62A17"/>
    <w:rsid w:val="00BA71D7"/>
    <w:rsid w:val="00BB5684"/>
    <w:rsid w:val="00BE0A55"/>
    <w:rsid w:val="00C216C6"/>
    <w:rsid w:val="00C50091"/>
    <w:rsid w:val="00CD541C"/>
    <w:rsid w:val="00CF6866"/>
    <w:rsid w:val="00D03570"/>
    <w:rsid w:val="00D05F85"/>
    <w:rsid w:val="00D22A25"/>
    <w:rsid w:val="00D32121"/>
    <w:rsid w:val="00D65F9F"/>
    <w:rsid w:val="00DA65B7"/>
    <w:rsid w:val="00DA6A2B"/>
    <w:rsid w:val="00DA7D72"/>
    <w:rsid w:val="00DC2697"/>
    <w:rsid w:val="00DE0D1A"/>
    <w:rsid w:val="00DF389A"/>
    <w:rsid w:val="00E10D3F"/>
    <w:rsid w:val="00E174AB"/>
    <w:rsid w:val="00E21EEE"/>
    <w:rsid w:val="00E51C63"/>
    <w:rsid w:val="00EA02A7"/>
    <w:rsid w:val="00EC145C"/>
    <w:rsid w:val="00ED5C0E"/>
    <w:rsid w:val="00ED5E9D"/>
    <w:rsid w:val="00F20D04"/>
    <w:rsid w:val="00F30B58"/>
    <w:rsid w:val="00F61EC1"/>
    <w:rsid w:val="00F71E07"/>
    <w:rsid w:val="00F82284"/>
    <w:rsid w:val="00F85C4D"/>
    <w:rsid w:val="00FA2348"/>
    <w:rsid w:val="00FD50F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6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kinsoku w:val="0"/>
      <w:overflowPunct w:val="0"/>
      <w:jc w:val="both"/>
      <w:textAlignment w:val="center"/>
    </w:pPr>
    <w:rPr>
      <w:rFonts w:eastAsia="華康細明體"/>
      <w:noProof/>
      <w:kern w:val="2"/>
      <w:sz w:val="21"/>
      <w:szCs w:val="24"/>
    </w:rPr>
  </w:style>
  <w:style w:type="paragraph" w:styleId="1">
    <w:name w:val="heading 1"/>
    <w:basedOn w:val="a"/>
    <w:next w:val="a"/>
    <w:qFormat/>
    <w:pPr>
      <w:keepNext/>
      <w:spacing w:before="180" w:after="180" w:line="720" w:lineRule="auto"/>
      <w:outlineLvl w:val="0"/>
    </w:pPr>
    <w:rPr>
      <w:rFonts w:ascii="Arial" w:eastAsia="方正新書宋" w:hAnsi="Arial"/>
      <w:b/>
      <w:bCs/>
      <w:kern w:val="52"/>
      <w:sz w:val="52"/>
      <w:szCs w:val="5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一般項目符號"/>
    <w:basedOn w:val="a"/>
    <w:next w:val="a"/>
    <w:pPr>
      <w:wordWrap w:val="0"/>
      <w:ind w:leftChars="100" w:left="210" w:firstLineChars="100" w:firstLine="210"/>
    </w:pPr>
    <w:rPr>
      <w:kern w:val="0"/>
    </w:rPr>
  </w:style>
  <w:style w:type="paragraph" w:customStyle="1" w:styleId="a4">
    <w:name w:val="說明"/>
    <w:basedOn w:val="a"/>
    <w:next w:val="a"/>
    <w:pPr>
      <w:spacing w:line="420" w:lineRule="exact"/>
      <w:ind w:left="300" w:hangingChars="300" w:hanging="300"/>
    </w:pPr>
    <w:rPr>
      <w:kern w:val="0"/>
    </w:rPr>
  </w:style>
  <w:style w:type="paragraph" w:customStyle="1" w:styleId="a5">
    <w:name w:val="主旨"/>
    <w:basedOn w:val="a4"/>
  </w:style>
  <w:style w:type="paragraph" w:customStyle="1" w:styleId="a6">
    <w:name w:val="目"/>
    <w:basedOn w:val="a"/>
    <w:next w:val="a"/>
    <w:pPr>
      <w:spacing w:line="420" w:lineRule="exact"/>
      <w:ind w:left="100" w:hangingChars="100" w:hanging="100"/>
    </w:pPr>
  </w:style>
  <w:style w:type="paragraph" w:customStyle="1" w:styleId="10">
    <w:name w:val="目1"/>
    <w:basedOn w:val="a6"/>
    <w:next w:val="a"/>
  </w:style>
  <w:style w:type="paragraph" w:customStyle="1" w:styleId="a7">
    <w:name w:val="立法院關係文書標題"/>
    <w:basedOn w:val="a"/>
    <w:next w:val="a"/>
    <w:pPr>
      <w:snapToGrid w:val="0"/>
      <w:ind w:leftChars="400" w:left="400"/>
    </w:pPr>
    <w:rPr>
      <w:rFonts w:eastAsia="華康楷書體W5"/>
      <w:kern w:val="0"/>
      <w:sz w:val="42"/>
    </w:rPr>
  </w:style>
  <w:style w:type="paragraph" w:customStyle="1" w:styleId="a8">
    <w:name w:val="印發及編號日期"/>
    <w:basedOn w:val="a"/>
    <w:pPr>
      <w:spacing w:line="210" w:lineRule="exact"/>
      <w:ind w:leftChars="100" w:left="100"/>
      <w:jc w:val="center"/>
    </w:pPr>
    <w:rPr>
      <w:kern w:val="0"/>
    </w:rPr>
  </w:style>
  <w:style w:type="paragraph" w:customStyle="1" w:styleId="a9">
    <w:name w:val="次目錄次標題"/>
    <w:basedOn w:val="a"/>
    <w:next w:val="a"/>
    <w:pPr>
      <w:ind w:firstLineChars="100" w:firstLine="100"/>
    </w:pPr>
    <w:rPr>
      <w:kern w:val="0"/>
      <w:sz w:val="28"/>
    </w:rPr>
  </w:style>
  <w:style w:type="paragraph" w:customStyle="1" w:styleId="aa">
    <w:name w:val="次目錄標題"/>
    <w:basedOn w:val="a"/>
    <w:next w:val="a"/>
    <w:rPr>
      <w:kern w:val="0"/>
      <w:sz w:val="28"/>
    </w:rPr>
  </w:style>
  <w:style w:type="paragraph" w:customStyle="1" w:styleId="ab">
    <w:name w:val="函件(主旨)"/>
    <w:basedOn w:val="a"/>
    <w:next w:val="a"/>
    <w:pPr>
      <w:spacing w:line="420" w:lineRule="exact"/>
      <w:ind w:left="300" w:hangingChars="300" w:hanging="300"/>
    </w:pPr>
    <w:rPr>
      <w:kern w:val="0"/>
    </w:rPr>
  </w:style>
  <w:style w:type="paragraph" w:customStyle="1" w:styleId="ac">
    <w:name w:val="函件(正附本)"/>
    <w:basedOn w:val="a"/>
    <w:next w:val="a"/>
    <w:pPr>
      <w:spacing w:line="420" w:lineRule="exact"/>
      <w:ind w:left="300" w:hangingChars="300" w:hanging="300"/>
    </w:pPr>
    <w:rPr>
      <w:kern w:val="0"/>
    </w:rPr>
  </w:style>
  <w:style w:type="paragraph" w:customStyle="1" w:styleId="ad">
    <w:name w:val="函件(正副本)"/>
    <w:basedOn w:val="a"/>
    <w:next w:val="a"/>
    <w:pPr>
      <w:spacing w:line="420" w:lineRule="exact"/>
      <w:ind w:left="300" w:hangingChars="300" w:hanging="300"/>
    </w:pPr>
    <w:rPr>
      <w:kern w:val="0"/>
    </w:rPr>
  </w:style>
  <w:style w:type="paragraph" w:customStyle="1" w:styleId="ae">
    <w:name w:val="函件(正副本內文)"/>
    <w:basedOn w:val="a"/>
    <w:next w:val="a"/>
    <w:pPr>
      <w:spacing w:line="420" w:lineRule="exact"/>
      <w:ind w:leftChars="300" w:left="300"/>
    </w:pPr>
    <w:rPr>
      <w:kern w:val="0"/>
    </w:rPr>
  </w:style>
  <w:style w:type="paragraph" w:customStyle="1" w:styleId="af">
    <w:name w:val="函件(受文者)"/>
    <w:basedOn w:val="a"/>
    <w:next w:val="a"/>
    <w:pPr>
      <w:spacing w:line="420" w:lineRule="exact"/>
      <w:ind w:left="400" w:hangingChars="400" w:hanging="400"/>
    </w:pPr>
    <w:rPr>
      <w:kern w:val="0"/>
    </w:rPr>
  </w:style>
  <w:style w:type="paragraph" w:customStyle="1" w:styleId="af0">
    <w:name w:val="函件(附件)"/>
    <w:basedOn w:val="a"/>
    <w:pPr>
      <w:spacing w:line="420" w:lineRule="exact"/>
      <w:ind w:left="300" w:hangingChars="300" w:hanging="300"/>
    </w:pPr>
    <w:rPr>
      <w:kern w:val="0"/>
    </w:rPr>
  </w:style>
  <w:style w:type="paragraph" w:customStyle="1" w:styleId="af1">
    <w:name w:val="函件(密等及解密條件)"/>
    <w:basedOn w:val="a"/>
    <w:next w:val="a"/>
    <w:pPr>
      <w:spacing w:line="420" w:lineRule="exact"/>
      <w:ind w:left="800" w:hangingChars="800" w:hanging="800"/>
    </w:pPr>
    <w:rPr>
      <w:kern w:val="0"/>
    </w:rPr>
  </w:style>
  <w:style w:type="paragraph" w:customStyle="1" w:styleId="af2">
    <w:name w:val="函件(速別)"/>
    <w:basedOn w:val="a"/>
    <w:next w:val="a"/>
    <w:pPr>
      <w:spacing w:line="420" w:lineRule="exact"/>
      <w:ind w:left="300" w:hangingChars="300" w:hanging="300"/>
    </w:pPr>
    <w:rPr>
      <w:kern w:val="0"/>
    </w:rPr>
  </w:style>
  <w:style w:type="paragraph" w:customStyle="1" w:styleId="af3">
    <w:name w:val="函件(單位)"/>
    <w:basedOn w:val="a"/>
    <w:next w:val="a"/>
    <w:rPr>
      <w:rFonts w:eastAsia="華康楷書體W5"/>
      <w:kern w:val="0"/>
      <w:sz w:val="28"/>
    </w:rPr>
  </w:style>
  <w:style w:type="paragraph" w:customStyle="1" w:styleId="af4">
    <w:name w:val="函件(發文日期與字號)"/>
    <w:basedOn w:val="a"/>
    <w:next w:val="a"/>
    <w:pPr>
      <w:spacing w:line="420" w:lineRule="exact"/>
      <w:ind w:left="500" w:hangingChars="500" w:hanging="500"/>
    </w:pPr>
    <w:rPr>
      <w:kern w:val="0"/>
    </w:rPr>
  </w:style>
  <w:style w:type="paragraph" w:customStyle="1" w:styleId="af5">
    <w:name w:val="函件(發文日期與字號內文)"/>
    <w:basedOn w:val="a"/>
    <w:pPr>
      <w:spacing w:line="420" w:lineRule="exact"/>
      <w:ind w:firstLineChars="200" w:firstLine="200"/>
    </w:pPr>
    <w:rPr>
      <w:kern w:val="0"/>
    </w:rPr>
  </w:style>
  <w:style w:type="paragraph" w:customStyle="1" w:styleId="af6">
    <w:name w:val="函件(說明)"/>
    <w:basedOn w:val="a"/>
    <w:next w:val="a"/>
    <w:pPr>
      <w:spacing w:line="420" w:lineRule="exact"/>
      <w:ind w:left="300" w:hangingChars="300" w:hanging="300"/>
    </w:pPr>
    <w:rPr>
      <w:kern w:val="0"/>
    </w:rPr>
  </w:style>
  <w:style w:type="paragraph" w:customStyle="1" w:styleId="af7">
    <w:name w:val="函件(說明內文)"/>
    <w:basedOn w:val="a"/>
    <w:pPr>
      <w:spacing w:line="420" w:lineRule="exact"/>
      <w:ind w:leftChars="500" w:left="500"/>
    </w:pPr>
    <w:rPr>
      <w:kern w:val="0"/>
    </w:rPr>
  </w:style>
  <w:style w:type="paragraph" w:customStyle="1" w:styleId="af8">
    <w:name w:val="函件(說明項目符號)"/>
    <w:basedOn w:val="a"/>
    <w:next w:val="a"/>
    <w:pPr>
      <w:spacing w:line="420" w:lineRule="exact"/>
      <w:ind w:leftChars="100" w:left="300" w:hangingChars="200" w:hanging="200"/>
    </w:pPr>
    <w:rPr>
      <w:kern w:val="0"/>
    </w:rPr>
  </w:style>
  <w:style w:type="paragraph" w:customStyle="1" w:styleId="af9">
    <w:name w:val="函件說明(一般項目)"/>
    <w:basedOn w:val="a"/>
    <w:next w:val="a"/>
    <w:pPr>
      <w:spacing w:line="420" w:lineRule="exact"/>
      <w:ind w:leftChars="500" w:left="600" w:hangingChars="100" w:hanging="100"/>
    </w:pPr>
    <w:rPr>
      <w:kern w:val="0"/>
    </w:rPr>
  </w:style>
  <w:style w:type="paragraph" w:customStyle="1" w:styleId="afa">
    <w:name w:val="函件說明(特殊項目)"/>
    <w:basedOn w:val="a"/>
    <w:next w:val="a"/>
    <w:pPr>
      <w:spacing w:line="420" w:lineRule="exact"/>
    </w:pPr>
    <w:rPr>
      <w:kern w:val="0"/>
    </w:rPr>
  </w:style>
  <w:style w:type="paragraph" w:customStyle="1" w:styleId="afb">
    <w:name w:val="案由(議)"/>
    <w:basedOn w:val="a"/>
    <w:next w:val="a"/>
    <w:pPr>
      <w:spacing w:line="480" w:lineRule="exact"/>
      <w:ind w:leftChars="250" w:left="550" w:hangingChars="300" w:hanging="300"/>
    </w:pPr>
    <w:rPr>
      <w:rFonts w:eastAsia="華康楷書體W5"/>
      <w:spacing w:val="2"/>
      <w:kern w:val="0"/>
      <w:sz w:val="28"/>
    </w:rPr>
  </w:style>
  <w:style w:type="paragraph" w:customStyle="1" w:styleId="afc">
    <w:name w:val="委員會提案"/>
    <w:basedOn w:val="afb"/>
    <w:pPr>
      <w:spacing w:line="840" w:lineRule="exact"/>
      <w:ind w:leftChars="1500" w:left="1500" w:firstLineChars="0" w:firstLine="0"/>
    </w:pPr>
  </w:style>
  <w:style w:type="paragraph" w:customStyle="1" w:styleId="afd">
    <w:name w:val="官員提案"/>
    <w:basedOn w:val="a"/>
    <w:next w:val="a"/>
    <w:pPr>
      <w:spacing w:line="420" w:lineRule="exact"/>
      <w:jc w:val="left"/>
    </w:pPr>
    <w:rPr>
      <w:kern w:val="0"/>
    </w:rPr>
  </w:style>
  <w:style w:type="paragraph" w:customStyle="1" w:styleId="afe">
    <w:name w:val="法律條文(內文)"/>
    <w:basedOn w:val="a"/>
    <w:next w:val="a"/>
    <w:pPr>
      <w:spacing w:line="420" w:lineRule="exact"/>
      <w:ind w:leftChars="200" w:left="200" w:firstLineChars="200" w:firstLine="200"/>
    </w:pPr>
  </w:style>
  <w:style w:type="paragraph" w:customStyle="1" w:styleId="aff">
    <w:name w:val="法律條文(條)"/>
    <w:basedOn w:val="a"/>
    <w:pPr>
      <w:spacing w:line="420" w:lineRule="exact"/>
      <w:ind w:leftChars="100" w:left="200" w:hangingChars="100" w:hanging="100"/>
    </w:pPr>
  </w:style>
  <w:style w:type="paragraph" w:customStyle="1" w:styleId="aff0">
    <w:name w:val="法律條文(項目符號)"/>
    <w:basedOn w:val="a"/>
    <w:next w:val="a"/>
    <w:pPr>
      <w:spacing w:line="420" w:lineRule="exact"/>
      <w:ind w:leftChars="200" w:left="300" w:hangingChars="100" w:hanging="100"/>
    </w:pPr>
  </w:style>
  <w:style w:type="paragraph" w:customStyle="1" w:styleId="aff1">
    <w:name w:val="表格內文頂頭"/>
    <w:basedOn w:val="a"/>
    <w:next w:val="a"/>
    <w:pPr>
      <w:spacing w:line="315" w:lineRule="exact"/>
    </w:pPr>
  </w:style>
  <w:style w:type="paragraph" w:customStyle="1" w:styleId="aff2">
    <w:name w:val="表格法條"/>
    <w:basedOn w:val="a"/>
    <w:next w:val="a"/>
    <w:pPr>
      <w:ind w:leftChars="50" w:left="150" w:hangingChars="100" w:hanging="100"/>
    </w:pPr>
    <w:rPr>
      <w:kern w:val="0"/>
    </w:rPr>
  </w:style>
  <w:style w:type="paragraph" w:customStyle="1" w:styleId="aff3">
    <w:name w:val="表格法條(條)"/>
    <w:basedOn w:val="a"/>
    <w:next w:val="a"/>
    <w:pPr>
      <w:ind w:leftChars="50" w:left="150" w:hangingChars="100" w:hanging="100"/>
    </w:pPr>
    <w:rPr>
      <w:kern w:val="0"/>
    </w:rPr>
  </w:style>
  <w:style w:type="paragraph" w:customStyle="1" w:styleId="aff4">
    <w:name w:val="表格法條(款)"/>
    <w:basedOn w:val="aff3"/>
    <w:next w:val="a"/>
    <w:pPr>
      <w:ind w:leftChars="150" w:left="250"/>
    </w:pPr>
  </w:style>
  <w:style w:type="paragraph" w:customStyle="1" w:styleId="aff5">
    <w:name w:val="表格法條(內文)"/>
    <w:basedOn w:val="aff4"/>
    <w:next w:val="a"/>
    <w:pPr>
      <w:ind w:left="150" w:firstLineChars="200" w:firstLine="200"/>
    </w:pPr>
  </w:style>
  <w:style w:type="paragraph" w:customStyle="1" w:styleId="aff6">
    <w:name w:val="表格法條(狀態)"/>
    <w:basedOn w:val="aff3"/>
    <w:next w:val="a"/>
    <w:pPr>
      <w:ind w:leftChars="25" w:left="25" w:firstLineChars="0" w:firstLine="0"/>
    </w:pPr>
  </w:style>
  <w:style w:type="paragraph" w:customStyle="1" w:styleId="aff7">
    <w:name w:val="表格法條(項)"/>
    <w:basedOn w:val="aff4"/>
    <w:next w:val="a"/>
    <w:pPr>
      <w:ind w:leftChars="250" w:left="350"/>
    </w:pPr>
  </w:style>
  <w:style w:type="paragraph" w:customStyle="1" w:styleId="aff8">
    <w:name w:val="表格第一列(文字分散)"/>
    <w:basedOn w:val="a"/>
    <w:next w:val="a"/>
    <w:pPr>
      <w:spacing w:line="315" w:lineRule="exact"/>
      <w:ind w:leftChars="50" w:left="50" w:rightChars="50" w:right="50"/>
      <w:jc w:val="distribute"/>
    </w:pPr>
  </w:style>
  <w:style w:type="paragraph" w:customStyle="1" w:styleId="aff9">
    <w:name w:val="表格項目符號"/>
    <w:basedOn w:val="aff3"/>
    <w:next w:val="a"/>
  </w:style>
  <w:style w:type="paragraph" w:customStyle="1" w:styleId="affa">
    <w:name w:val="表格說明(內文)"/>
    <w:basedOn w:val="aff3"/>
    <w:next w:val="a"/>
    <w:pPr>
      <w:ind w:left="50" w:firstLineChars="0" w:firstLine="0"/>
    </w:pPr>
  </w:style>
  <w:style w:type="paragraph" w:customStyle="1" w:styleId="affb">
    <w:name w:val="表格說明(提案)"/>
    <w:basedOn w:val="affa"/>
    <w:next w:val="a"/>
    <w:rPr>
      <w:rFonts w:eastAsia="華康中黑體"/>
    </w:rPr>
  </w:style>
  <w:style w:type="paragraph" w:customStyle="1" w:styleId="affc">
    <w:name w:val="表格說明(提案說明)"/>
    <w:basedOn w:val="affb"/>
    <w:next w:val="a"/>
  </w:style>
  <w:style w:type="paragraph" w:customStyle="1" w:styleId="affd">
    <w:name w:val="表格說明(項目符號)"/>
    <w:basedOn w:val="aff3"/>
    <w:next w:val="a"/>
  </w:style>
  <w:style w:type="paragraph" w:customStyle="1" w:styleId="affe">
    <w:name w:val="政院次目錄次標題"/>
    <w:basedOn w:val="a"/>
    <w:next w:val="a"/>
    <w:pPr>
      <w:spacing w:line="420" w:lineRule="exact"/>
      <w:ind w:leftChars="153" w:left="153"/>
    </w:pPr>
    <w:rPr>
      <w:kern w:val="0"/>
      <w:sz w:val="28"/>
    </w:rPr>
  </w:style>
  <w:style w:type="paragraph" w:customStyle="1" w:styleId="afff">
    <w:name w:val="政院次目錄標題"/>
    <w:basedOn w:val="a"/>
    <w:next w:val="a"/>
    <w:pPr>
      <w:spacing w:line="420" w:lineRule="exact"/>
    </w:pPr>
    <w:rPr>
      <w:rFonts w:eastAsia="華康中黑體"/>
      <w:kern w:val="0"/>
      <w:sz w:val="28"/>
    </w:rPr>
  </w:style>
  <w:style w:type="paragraph" w:customStyle="1" w:styleId="afff0">
    <w:name w:val="政院答復項目"/>
    <w:basedOn w:val="a"/>
    <w:next w:val="a"/>
    <w:pPr>
      <w:snapToGrid w:val="0"/>
      <w:spacing w:line="315" w:lineRule="atLeast"/>
      <w:ind w:left="200" w:hangingChars="200" w:hanging="200"/>
    </w:pPr>
    <w:rPr>
      <w:kern w:val="0"/>
    </w:rPr>
  </w:style>
  <w:style w:type="paragraph" w:customStyle="1" w:styleId="afff1">
    <w:name w:val="政院答復(一般項目)"/>
    <w:basedOn w:val="afff0"/>
    <w:next w:val="a"/>
  </w:style>
  <w:style w:type="paragraph" w:customStyle="1" w:styleId="afff2">
    <w:name w:val="政院答復(內文)"/>
    <w:basedOn w:val="a"/>
    <w:next w:val="a"/>
    <w:pPr>
      <w:spacing w:line="315" w:lineRule="atLeast"/>
      <w:ind w:leftChars="200" w:left="200"/>
    </w:pPr>
    <w:rPr>
      <w:kern w:val="0"/>
    </w:rPr>
  </w:style>
  <w:style w:type="paragraph" w:customStyle="1" w:styleId="afff3">
    <w:name w:val="政院答復(特殊項目)"/>
    <w:basedOn w:val="a"/>
    <w:next w:val="a"/>
    <w:rPr>
      <w:kern w:val="0"/>
    </w:rPr>
  </w:style>
  <w:style w:type="paragraph" w:customStyle="1" w:styleId="afff4">
    <w:name w:val="政院質詢項目"/>
    <w:basedOn w:val="a"/>
    <w:next w:val="a"/>
    <w:pPr>
      <w:snapToGrid w:val="0"/>
      <w:spacing w:beforeLines="70" w:before="70" w:afterLines="50" w:after="50"/>
      <w:jc w:val="left"/>
    </w:pPr>
    <w:rPr>
      <w:rFonts w:eastAsia="華康楷書體W5"/>
      <w:kern w:val="0"/>
      <w:sz w:val="28"/>
    </w:rPr>
  </w:style>
  <w:style w:type="paragraph" w:customStyle="1" w:styleId="afff5">
    <w:name w:val="政院質詢(一般項目)"/>
    <w:basedOn w:val="afff4"/>
    <w:next w:val="a"/>
  </w:style>
  <w:style w:type="paragraph" w:customStyle="1" w:styleId="afff6">
    <w:name w:val="政院質詢(內文)"/>
    <w:basedOn w:val="a"/>
    <w:pPr>
      <w:spacing w:line="315" w:lineRule="atLeast"/>
      <w:ind w:firstLineChars="200" w:firstLine="200"/>
    </w:pPr>
    <w:rPr>
      <w:kern w:val="0"/>
    </w:rPr>
  </w:style>
  <w:style w:type="paragraph" w:customStyle="1" w:styleId="afff7">
    <w:name w:val="政院質詢(特殊項目)"/>
    <w:basedOn w:val="a"/>
    <w:next w:val="a"/>
    <w:rPr>
      <w:kern w:val="0"/>
    </w:rPr>
  </w:style>
  <w:style w:type="paragraph" w:customStyle="1" w:styleId="afff8">
    <w:name w:val="政院質詢項目(函)"/>
    <w:basedOn w:val="a"/>
    <w:next w:val="a"/>
    <w:pPr>
      <w:snapToGrid w:val="0"/>
      <w:ind w:leftChars="500" w:left="500"/>
    </w:pPr>
    <w:rPr>
      <w:kern w:val="0"/>
    </w:rPr>
  </w:style>
  <w:style w:type="paragraph" w:styleId="afff9">
    <w:name w:val="footer"/>
    <w:basedOn w:val="a"/>
    <w:semiHidden/>
    <w:pPr>
      <w:tabs>
        <w:tab w:val="center" w:pos="4153"/>
        <w:tab w:val="right" w:pos="8306"/>
      </w:tabs>
      <w:snapToGrid w:val="0"/>
      <w:spacing w:line="210" w:lineRule="exact"/>
    </w:pPr>
    <w:rPr>
      <w:szCs w:val="20"/>
    </w:rPr>
  </w:style>
  <w:style w:type="paragraph" w:styleId="afffa">
    <w:name w:val="header"/>
    <w:basedOn w:val="a"/>
    <w:semiHidden/>
    <w:pPr>
      <w:tabs>
        <w:tab w:val="center" w:pos="4153"/>
        <w:tab w:val="right" w:pos="8306"/>
      </w:tabs>
      <w:snapToGrid w:val="0"/>
      <w:spacing w:line="294" w:lineRule="exact"/>
    </w:pPr>
    <w:rPr>
      <w:kern w:val="0"/>
      <w:szCs w:val="20"/>
    </w:rPr>
  </w:style>
  <w:style w:type="character" w:styleId="afffb">
    <w:name w:val="page number"/>
    <w:basedOn w:val="a0"/>
    <w:semiHidden/>
  </w:style>
  <w:style w:type="paragraph" w:customStyle="1" w:styleId="afffc">
    <w:name w:val="修正條文(標題)"/>
    <w:basedOn w:val="a"/>
    <w:next w:val="a"/>
    <w:pPr>
      <w:spacing w:afterLines="50" w:after="50"/>
      <w:ind w:leftChars="400" w:left="400"/>
    </w:pPr>
    <w:rPr>
      <w:rFonts w:eastAsia="華康楷書體W5"/>
      <w:kern w:val="0"/>
      <w:sz w:val="28"/>
    </w:rPr>
  </w:style>
  <w:style w:type="paragraph" w:customStyle="1" w:styleId="afffd">
    <w:name w:val="特殊段落"/>
    <w:basedOn w:val="a"/>
    <w:next w:val="a"/>
    <w:pPr>
      <w:spacing w:line="420" w:lineRule="exact"/>
    </w:pPr>
  </w:style>
  <w:style w:type="paragraph" w:customStyle="1" w:styleId="afffe">
    <w:name w:val="特殊項目符號"/>
    <w:basedOn w:val="a"/>
    <w:next w:val="a"/>
    <w:pPr>
      <w:spacing w:line="420" w:lineRule="exact"/>
    </w:pPr>
    <w:rPr>
      <w:snapToGrid w:val="0"/>
      <w:kern w:val="0"/>
    </w:rPr>
  </w:style>
  <w:style w:type="paragraph" w:customStyle="1" w:styleId="affff">
    <w:name w:val="院總號"/>
    <w:basedOn w:val="a"/>
    <w:next w:val="a"/>
    <w:pPr>
      <w:spacing w:line="420" w:lineRule="exact"/>
    </w:pPr>
    <w:rPr>
      <w:rFonts w:eastAsia="華康楷書體W5"/>
      <w:kern w:val="0"/>
      <w:sz w:val="42"/>
    </w:rPr>
  </w:style>
  <w:style w:type="paragraph" w:customStyle="1" w:styleId="affff0">
    <w:name w:val="條"/>
    <w:basedOn w:val="a"/>
    <w:pPr>
      <w:spacing w:line="420" w:lineRule="exact"/>
      <w:ind w:left="500" w:hangingChars="500" w:hanging="500"/>
    </w:pPr>
    <w:rPr>
      <w:bCs/>
    </w:rPr>
  </w:style>
  <w:style w:type="paragraph" w:customStyle="1" w:styleId="11">
    <w:name w:val="條1"/>
    <w:basedOn w:val="a"/>
    <w:next w:val="a"/>
    <w:pPr>
      <w:spacing w:line="420" w:lineRule="exact"/>
      <w:ind w:left="375" w:hangingChars="375" w:hanging="375"/>
    </w:pPr>
  </w:style>
  <w:style w:type="paragraph" w:customStyle="1" w:styleId="affff1">
    <w:name w:val="條文內文"/>
    <w:basedOn w:val="a"/>
    <w:next w:val="a"/>
    <w:pPr>
      <w:spacing w:line="420" w:lineRule="exact"/>
      <w:ind w:leftChars="500" w:left="500" w:firstLineChars="200" w:firstLine="200"/>
    </w:pPr>
  </w:style>
  <w:style w:type="paragraph" w:customStyle="1" w:styleId="12">
    <w:name w:val="條文內文1"/>
    <w:basedOn w:val="a"/>
    <w:next w:val="a"/>
    <w:pPr>
      <w:spacing w:line="420" w:lineRule="exact"/>
      <w:ind w:leftChars="500" w:left="500" w:firstLineChars="200" w:firstLine="200"/>
    </w:pPr>
  </w:style>
  <w:style w:type="paragraph" w:customStyle="1" w:styleId="affff2">
    <w:name w:val="章"/>
    <w:basedOn w:val="a"/>
    <w:pPr>
      <w:spacing w:line="420" w:lineRule="exact"/>
      <w:ind w:leftChars="800" w:left="800"/>
      <w:jc w:val="left"/>
    </w:pPr>
    <w:rPr>
      <w:bCs/>
    </w:rPr>
  </w:style>
  <w:style w:type="paragraph" w:customStyle="1" w:styleId="-">
    <w:name w:val="提案連署人-議程"/>
    <w:basedOn w:val="a"/>
    <w:next w:val="a"/>
    <w:pPr>
      <w:spacing w:line="420" w:lineRule="exact"/>
      <w:ind w:leftChars="1100" w:left="1500" w:rightChars="300" w:right="300" w:hangingChars="400" w:hanging="400"/>
      <w:jc w:val="left"/>
    </w:pPr>
    <w:rPr>
      <w:kern w:val="0"/>
    </w:rPr>
  </w:style>
  <w:style w:type="paragraph" w:customStyle="1" w:styleId="affff3">
    <w:name w:val="提案連署人(委員)"/>
    <w:basedOn w:val="a"/>
    <w:pPr>
      <w:spacing w:line="420" w:lineRule="exact"/>
      <w:ind w:leftChars="1100" w:left="1500" w:rightChars="300" w:right="300" w:hangingChars="400" w:hanging="400"/>
      <w:jc w:val="left"/>
    </w:pPr>
    <w:rPr>
      <w:rFonts w:eastAsia="華康楷書體W5"/>
      <w:kern w:val="0"/>
    </w:rPr>
  </w:style>
  <w:style w:type="paragraph" w:customStyle="1" w:styleId="affff4">
    <w:name w:val="提案連署人(黨團)"/>
    <w:basedOn w:val="a"/>
    <w:pPr>
      <w:spacing w:line="420" w:lineRule="exact"/>
      <w:ind w:leftChars="1100" w:left="1500" w:rightChars="300" w:right="300" w:hangingChars="400" w:hanging="400"/>
      <w:jc w:val="left"/>
    </w:pPr>
    <w:rPr>
      <w:rFonts w:eastAsia="華康楷書體W5"/>
      <w:kern w:val="0"/>
    </w:rPr>
  </w:style>
  <w:style w:type="paragraph" w:customStyle="1" w:styleId="affff5">
    <w:name w:val="提案號"/>
    <w:basedOn w:val="a"/>
    <w:pPr>
      <w:spacing w:line="420" w:lineRule="exact"/>
    </w:pPr>
    <w:rPr>
      <w:rFonts w:eastAsia="華康楷書體W5"/>
      <w:kern w:val="0"/>
      <w:sz w:val="34"/>
    </w:rPr>
  </w:style>
  <w:style w:type="paragraph" w:customStyle="1" w:styleId="affff6">
    <w:name w:val="提案說明"/>
    <w:basedOn w:val="a"/>
    <w:pPr>
      <w:spacing w:line="420" w:lineRule="exact"/>
      <w:ind w:leftChars="300" w:left="500" w:hangingChars="200" w:hanging="200"/>
    </w:pPr>
    <w:rPr>
      <w:kern w:val="0"/>
    </w:rPr>
  </w:style>
  <w:style w:type="paragraph" w:customStyle="1" w:styleId="affff7">
    <w:name w:val="款"/>
    <w:basedOn w:val="a"/>
    <w:pPr>
      <w:spacing w:line="420" w:lineRule="exact"/>
      <w:ind w:leftChars="700" w:left="800" w:hangingChars="100" w:hanging="100"/>
    </w:pPr>
    <w:rPr>
      <w:bCs/>
    </w:rPr>
  </w:style>
  <w:style w:type="paragraph" w:customStyle="1" w:styleId="13">
    <w:name w:val="款1"/>
    <w:basedOn w:val="a"/>
    <w:next w:val="a"/>
    <w:pPr>
      <w:spacing w:line="420" w:lineRule="exact"/>
      <w:ind w:leftChars="700" w:left="800" w:hangingChars="100" w:hanging="100"/>
    </w:pPr>
    <w:rPr>
      <w:bCs/>
    </w:rPr>
  </w:style>
  <w:style w:type="paragraph" w:customStyle="1" w:styleId="affff8">
    <w:name w:val="發函單位"/>
    <w:basedOn w:val="a"/>
    <w:next w:val="a"/>
    <w:rPr>
      <w:rFonts w:eastAsia="華康中黑體"/>
      <w:spacing w:val="-10"/>
      <w:kern w:val="0"/>
      <w:sz w:val="28"/>
    </w:rPr>
  </w:style>
  <w:style w:type="paragraph" w:customStyle="1" w:styleId="affff9">
    <w:name w:val="發函說明"/>
    <w:basedOn w:val="affff6"/>
    <w:next w:val="affff6"/>
  </w:style>
  <w:style w:type="paragraph" w:customStyle="1" w:styleId="affffa">
    <w:name w:val="答復項目"/>
    <w:basedOn w:val="a"/>
    <w:next w:val="a"/>
    <w:pPr>
      <w:ind w:left="200" w:hangingChars="200" w:hanging="200"/>
    </w:pPr>
    <w:rPr>
      <w:kern w:val="0"/>
    </w:rPr>
  </w:style>
  <w:style w:type="paragraph" w:customStyle="1" w:styleId="affffb">
    <w:name w:val="項"/>
    <w:basedOn w:val="a"/>
    <w:next w:val="a"/>
    <w:pPr>
      <w:spacing w:line="420" w:lineRule="exact"/>
      <w:ind w:left="100" w:hangingChars="100" w:hanging="100"/>
    </w:pPr>
  </w:style>
  <w:style w:type="paragraph" w:customStyle="1" w:styleId="14">
    <w:name w:val="項1"/>
    <w:basedOn w:val="a"/>
    <w:next w:val="a"/>
    <w:pPr>
      <w:spacing w:line="420" w:lineRule="exact"/>
      <w:ind w:leftChars="700" w:left="800" w:hangingChars="100" w:hanging="100"/>
    </w:pPr>
  </w:style>
  <w:style w:type="paragraph" w:customStyle="1" w:styleId="affffc">
    <w:name w:val="節"/>
    <w:basedOn w:val="a"/>
    <w:pPr>
      <w:spacing w:line="420" w:lineRule="exact"/>
      <w:ind w:leftChars="900" w:left="900"/>
      <w:jc w:val="left"/>
    </w:pPr>
    <w:rPr>
      <w:rFonts w:eastAsia="華康楷書體W5"/>
      <w:bCs/>
    </w:rPr>
  </w:style>
  <w:style w:type="paragraph" w:customStyle="1" w:styleId="affffd">
    <w:name w:val="說明(一般項目)"/>
    <w:basedOn w:val="a"/>
    <w:next w:val="a"/>
    <w:pPr>
      <w:spacing w:line="420" w:lineRule="exact"/>
      <w:ind w:leftChars="200" w:left="300" w:hangingChars="100" w:hanging="100"/>
    </w:pPr>
    <w:rPr>
      <w:kern w:val="0"/>
    </w:rPr>
  </w:style>
  <w:style w:type="paragraph" w:customStyle="1" w:styleId="affffe">
    <w:name w:val="說明(內文)"/>
    <w:basedOn w:val="a"/>
    <w:next w:val="a"/>
    <w:pPr>
      <w:spacing w:line="420" w:lineRule="exact"/>
      <w:ind w:firstLineChars="200" w:firstLine="200"/>
    </w:pPr>
    <w:rPr>
      <w:kern w:val="0"/>
    </w:rPr>
  </w:style>
  <w:style w:type="paragraph" w:customStyle="1" w:styleId="afffff">
    <w:name w:val="說明(特殊項目)"/>
    <w:basedOn w:val="a"/>
    <w:next w:val="a"/>
    <w:pPr>
      <w:spacing w:line="420" w:lineRule="exact"/>
    </w:pPr>
    <w:rPr>
      <w:snapToGrid w:val="0"/>
      <w:kern w:val="0"/>
    </w:rPr>
  </w:style>
  <w:style w:type="paragraph" w:customStyle="1" w:styleId="afffff0">
    <w:name w:val="說明(無函件項目符號)"/>
    <w:basedOn w:val="a"/>
    <w:next w:val="a"/>
    <w:pPr>
      <w:spacing w:line="420" w:lineRule="exact"/>
      <w:ind w:leftChars="100" w:left="300" w:hangingChars="200" w:hanging="200"/>
    </w:pPr>
    <w:rPr>
      <w:kern w:val="0"/>
    </w:rPr>
  </w:style>
  <w:style w:type="paragraph" w:customStyle="1" w:styleId="afffff1">
    <w:name w:val="審查報告(項目符號)"/>
    <w:basedOn w:val="a"/>
    <w:next w:val="a"/>
    <w:pPr>
      <w:spacing w:line="420" w:lineRule="exact"/>
      <w:ind w:left="200" w:hangingChars="200" w:hanging="200"/>
    </w:pPr>
    <w:rPr>
      <w:kern w:val="0"/>
    </w:rPr>
  </w:style>
  <w:style w:type="paragraph" w:customStyle="1" w:styleId="afffff2">
    <w:name w:val="審查報告(一般項目)"/>
    <w:basedOn w:val="afffff1"/>
    <w:next w:val="a"/>
  </w:style>
  <w:style w:type="paragraph" w:customStyle="1" w:styleId="afffff3">
    <w:name w:val="審查報告(內文)"/>
    <w:basedOn w:val="a"/>
    <w:next w:val="a"/>
    <w:pPr>
      <w:spacing w:line="420" w:lineRule="exact"/>
      <w:ind w:firstLineChars="200" w:firstLine="200"/>
    </w:pPr>
  </w:style>
  <w:style w:type="paragraph" w:customStyle="1" w:styleId="afffff4">
    <w:name w:val="審查報告(委員說明)"/>
    <w:basedOn w:val="a"/>
    <w:next w:val="a"/>
    <w:pPr>
      <w:spacing w:line="420" w:lineRule="exact"/>
    </w:pPr>
    <w:rPr>
      <w:rFonts w:eastAsia="華康中黑體"/>
      <w:kern w:val="0"/>
    </w:rPr>
  </w:style>
  <w:style w:type="paragraph" w:customStyle="1" w:styleId="afffff5">
    <w:name w:val="審查報告(特殊符號內文)"/>
    <w:basedOn w:val="a"/>
    <w:next w:val="a"/>
    <w:pPr>
      <w:spacing w:line="420" w:lineRule="exact"/>
    </w:pPr>
  </w:style>
  <w:style w:type="paragraph" w:customStyle="1" w:styleId="afffff6">
    <w:name w:val="審查報告(特殊項目)"/>
    <w:basedOn w:val="a"/>
    <w:next w:val="a"/>
    <w:pPr>
      <w:spacing w:line="420" w:lineRule="exact"/>
    </w:pPr>
    <w:rPr>
      <w:kern w:val="0"/>
    </w:rPr>
  </w:style>
  <w:style w:type="paragraph" w:customStyle="1" w:styleId="afffff7">
    <w:name w:val="審查報告(特殊項目內文)"/>
    <w:basedOn w:val="a"/>
    <w:next w:val="a"/>
    <w:pPr>
      <w:spacing w:line="420" w:lineRule="exact"/>
    </w:pPr>
  </w:style>
  <w:style w:type="paragraph" w:customStyle="1" w:styleId="afffff8">
    <w:name w:val="審查報告(項目符號內文)"/>
    <w:basedOn w:val="a"/>
    <w:next w:val="a"/>
    <w:pPr>
      <w:spacing w:line="420" w:lineRule="exact"/>
    </w:pPr>
    <w:rPr>
      <w:kern w:val="0"/>
    </w:rPr>
  </w:style>
  <w:style w:type="paragraph" w:customStyle="1" w:styleId="afffff9">
    <w:name w:val="審查報告(標題)"/>
    <w:basedOn w:val="a"/>
    <w:next w:val="a"/>
    <w:pPr>
      <w:spacing w:afterLines="50" w:after="50"/>
      <w:ind w:leftChars="500" w:left="600" w:hangingChars="100" w:hanging="100"/>
    </w:pPr>
    <w:rPr>
      <w:rFonts w:eastAsia="華康楷書體W5"/>
      <w:kern w:val="0"/>
      <w:sz w:val="28"/>
    </w:rPr>
  </w:style>
  <w:style w:type="paragraph" w:customStyle="1" w:styleId="afffffa">
    <w:name w:val="質詢項目"/>
    <w:basedOn w:val="a"/>
    <w:next w:val="a"/>
    <w:pPr>
      <w:ind w:left="300" w:hangingChars="300" w:hanging="300"/>
    </w:pPr>
    <w:rPr>
      <w:kern w:val="0"/>
      <w:sz w:val="28"/>
    </w:rPr>
  </w:style>
  <w:style w:type="paragraph" w:customStyle="1" w:styleId="afffffb">
    <w:name w:val="質詢項目(函)"/>
    <w:basedOn w:val="a"/>
    <w:next w:val="a"/>
    <w:pPr>
      <w:ind w:leftChars="400" w:left="400"/>
    </w:pPr>
    <w:rPr>
      <w:kern w:val="0"/>
    </w:rPr>
  </w:style>
  <w:style w:type="paragraph" w:styleId="HTML">
    <w:name w:val="HTML Address"/>
    <w:basedOn w:val="a"/>
    <w:semiHidden/>
    <w:rPr>
      <w:i/>
      <w:iCs/>
    </w:rPr>
  </w:style>
  <w:style w:type="paragraph" w:customStyle="1" w:styleId="afffffc">
    <w:name w:val="質詢項目內文"/>
    <w:basedOn w:val="a"/>
    <w:next w:val="a"/>
    <w:pPr>
      <w:ind w:firstLineChars="200" w:firstLine="200"/>
    </w:pPr>
    <w:rPr>
      <w:kern w:val="0"/>
    </w:rPr>
  </w:style>
  <w:style w:type="paragraph" w:customStyle="1" w:styleId="15">
    <w:name w:val="橫向數字1"/>
    <w:basedOn w:val="a"/>
    <w:next w:val="a"/>
    <w:pPr>
      <w:ind w:leftChars="100" w:left="100" w:firstLineChars="55" w:firstLine="55"/>
    </w:pPr>
  </w:style>
  <w:style w:type="paragraph" w:customStyle="1" w:styleId="2">
    <w:name w:val="橫向數字2"/>
    <w:basedOn w:val="a"/>
    <w:next w:val="a"/>
    <w:pPr>
      <w:ind w:leftChars="100" w:left="100" w:firstLineChars="70" w:firstLine="70"/>
    </w:pPr>
  </w:style>
  <w:style w:type="paragraph" w:customStyle="1" w:styleId="afffffd">
    <w:name w:val="總說明(項目符號)"/>
    <w:basedOn w:val="a"/>
    <w:next w:val="a"/>
    <w:pPr>
      <w:spacing w:line="420" w:lineRule="exact"/>
      <w:ind w:left="200" w:hangingChars="200" w:hanging="200"/>
    </w:pPr>
    <w:rPr>
      <w:kern w:val="0"/>
    </w:rPr>
  </w:style>
  <w:style w:type="paragraph" w:customStyle="1" w:styleId="afffffe">
    <w:name w:val="總說明(一般項目)"/>
    <w:basedOn w:val="afffffd"/>
    <w:next w:val="a"/>
    <w:pPr>
      <w:jc w:val="left"/>
    </w:pPr>
  </w:style>
  <w:style w:type="paragraph" w:customStyle="1" w:styleId="affffff">
    <w:name w:val="總說明(內文)"/>
    <w:basedOn w:val="a"/>
    <w:pPr>
      <w:spacing w:line="420" w:lineRule="exact"/>
      <w:ind w:firstLineChars="200" w:firstLine="200"/>
    </w:pPr>
    <w:rPr>
      <w:kern w:val="0"/>
    </w:rPr>
  </w:style>
  <w:style w:type="paragraph" w:customStyle="1" w:styleId="affffff0">
    <w:name w:val="總說明(特殊項目)"/>
    <w:basedOn w:val="a"/>
    <w:next w:val="a"/>
    <w:pPr>
      <w:spacing w:line="420" w:lineRule="exact"/>
    </w:pPr>
    <w:rPr>
      <w:kern w:val="0"/>
    </w:rPr>
  </w:style>
  <w:style w:type="paragraph" w:customStyle="1" w:styleId="affffff1">
    <w:name w:val="總說明(標題)"/>
    <w:basedOn w:val="affff8"/>
    <w:next w:val="a"/>
    <w:pPr>
      <w:spacing w:afterLines="50" w:after="50"/>
      <w:ind w:leftChars="550" w:left="550"/>
    </w:pPr>
    <w:rPr>
      <w:rFonts w:eastAsia="華康楷書體W5"/>
      <w:spacing w:val="0"/>
    </w:rPr>
  </w:style>
  <w:style w:type="paragraph" w:customStyle="1" w:styleId="affffff2">
    <w:name w:val="黨團(委員)"/>
    <w:basedOn w:val="a"/>
    <w:next w:val="a"/>
    <w:pPr>
      <w:spacing w:line="420" w:lineRule="atLeast"/>
      <w:ind w:leftChars="1500" w:left="1500" w:rightChars="300" w:right="300"/>
      <w:jc w:val="left"/>
    </w:pPr>
  </w:style>
  <w:style w:type="paragraph" w:customStyle="1" w:styleId="-0">
    <w:name w:val="黨團提案-議程"/>
    <w:basedOn w:val="afb"/>
    <w:pPr>
      <w:spacing w:line="420" w:lineRule="exact"/>
      <w:ind w:leftChars="1100" w:left="1100" w:firstLineChars="0" w:firstLine="0"/>
    </w:pPr>
    <w:rPr>
      <w:rFonts w:eastAsia="華康細明體"/>
      <w:sz w:val="21"/>
    </w:rPr>
  </w:style>
  <w:style w:type="paragraph" w:customStyle="1" w:styleId="affffff3">
    <w:name w:val="項(內文)"/>
    <w:basedOn w:val="a"/>
    <w:next w:val="a"/>
    <w:pPr>
      <w:spacing w:line="420" w:lineRule="exact"/>
      <w:ind w:leftChars="900" w:left="900" w:firstLineChars="200" w:firstLine="200"/>
    </w:pPr>
  </w:style>
  <w:style w:type="paragraph" w:customStyle="1" w:styleId="affffff4">
    <w:name w:val="收文編號"/>
    <w:basedOn w:val="a"/>
  </w:style>
  <w:style w:type="paragraph" w:customStyle="1" w:styleId="affffff5">
    <w:name w:val="目(內文)"/>
    <w:basedOn w:val="a6"/>
    <w:next w:val="a"/>
    <w:pPr>
      <w:adjustRightInd w:val="0"/>
      <w:ind w:leftChars="200" w:left="300"/>
    </w:pPr>
  </w:style>
  <w:style w:type="paragraph" w:customStyle="1" w:styleId="16">
    <w:name w:val="項1(內文)"/>
    <w:basedOn w:val="a"/>
    <w:next w:val="a"/>
    <w:pPr>
      <w:spacing w:line="420" w:lineRule="exact"/>
      <w:ind w:leftChars="900" w:left="900" w:firstLineChars="200" w:firstLine="200"/>
    </w:pPr>
  </w:style>
  <w:style w:type="paragraph" w:customStyle="1" w:styleId="17">
    <w:name w:val="目1(內文)"/>
    <w:basedOn w:val="a"/>
    <w:next w:val="a"/>
    <w:pPr>
      <w:spacing w:line="420" w:lineRule="exact"/>
      <w:ind w:leftChars="200" w:left="200" w:firstLineChars="200" w:firstLine="200"/>
    </w:pPr>
  </w:style>
  <w:style w:type="table" w:styleId="affffff6">
    <w:name w:val="Table Grid"/>
    <w:basedOn w:val="a1"/>
    <w:uiPriority w:val="59"/>
    <w:rsid w:val="00D22A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8">
    <w:name w:val="說明(內文1)"/>
    <w:basedOn w:val="a"/>
    <w:next w:val="a"/>
    <w:rsid w:val="001346DF"/>
    <w:pPr>
      <w:spacing w:line="420" w:lineRule="exact"/>
      <w:ind w:firstLineChars="200" w:firstLine="20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utf-8"/>
  <w:optimizeForBrowser/>
  <w:allowPNG/>
  <w:doNotRelyOnCS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pc38\AppData\Roaming\Microsoft\Templates\LCEWA01.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003D35-59A1-4B6F-A551-78321D957D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LCEWA01.dot</Template>
  <TotalTime>0</TotalTime>
  <Pages>19</Pages>
  <Words>2726</Words>
  <Characters>15539</Characters>
  <Application>Microsoft Office Word</Application>
  <DocSecurity>0</DocSecurity>
  <Lines>129</Lines>
  <Paragraphs>36</Paragraphs>
  <ScaleCrop>false</ScaleCrop>
  <Company/>
  <LinksUpToDate>false</LinksUpToDate>
  <CharactersWithSpaces>18229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Dpc38</dc:creator>
  <cp:keywords>;;</cp:keywords>
  <dc:description>286;304;19;;</dc:description>
  <cp:lastModifiedBy>Dpc38</cp:lastModifiedBy>
  <cp:revision>2</cp:revision>
  <cp:lastPrinted>2004-10-07T02:24:00Z</cp:lastPrinted>
  <dcterms:created xsi:type="dcterms:W3CDTF">2016-06-23T07:19:00Z</dcterms:created>
  <dcterms:modified xsi:type="dcterms:W3CDTF">2016-06-23T07:19:00Z</dcterms:modified>
</cp:coreProperties>
</file>