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79B" w:rsidRDefault="001C679B" w:rsidP="001C679B">
      <w:pPr>
        <w:pStyle w:val="affe"/>
        <w:ind w:left="323"/>
      </w:pPr>
      <w:r>
        <w:rPr>
          <w:rFonts w:hint="eastAsia"/>
        </w:rPr>
        <w:t>乙、本院委員質詢部分</w:t>
      </w:r>
    </w:p>
    <w:p w:rsidR="001C679B" w:rsidRPr="002B799D" w:rsidRDefault="001C679B" w:rsidP="001C679B">
      <w:pPr>
        <w:pStyle w:val="afb"/>
        <w:spacing w:beforeLines="100" w:before="335" w:line="420" w:lineRule="exact"/>
        <w:ind w:leftChars="0" w:left="855" w:hanging="855"/>
      </w:pPr>
      <w:r>
        <w:rPr>
          <w:rFonts w:hint="eastAsia"/>
        </w:rPr>
        <w:t>（一）</w:t>
      </w:r>
      <w:r w:rsidRPr="002B799D">
        <w:rPr>
          <w:rFonts w:hint="eastAsia"/>
        </w:rPr>
        <w:t>本院林委員淑芬，據查新北市政府「淡水河北側沿河平面道路工程（淡水河北側沿河快速道路第一期工程替代方案）」之公共建設計畫一案，行政院函請新北市政府辦理開設關渡新橋之配套方案。為避免來自臺北市之車流透過關渡新橋銜接至</w:t>
      </w:r>
      <w:r w:rsidRPr="002B799D">
        <w:rPr>
          <w:rFonts w:hint="eastAsia"/>
        </w:rPr>
        <w:t>103</w:t>
      </w:r>
      <w:r w:rsidRPr="002B799D">
        <w:rPr>
          <w:rFonts w:hint="eastAsia"/>
        </w:rPr>
        <w:t>龍米路，造成五股市區道路交通惡化。爰建請行政院審議新北市政府呈報之關渡新橋暨道路系統銜接可行性評估，應一併考量關渡新橋至新北市與台</w:t>
      </w:r>
      <w:r w:rsidRPr="002B799D">
        <w:rPr>
          <w:rFonts w:hint="eastAsia"/>
        </w:rPr>
        <w:t>64</w:t>
      </w:r>
      <w:r w:rsidRPr="002B799D">
        <w:rPr>
          <w:rFonts w:hint="eastAsia"/>
        </w:rPr>
        <w:t>之隧道段銜接路線應一併施作，避免造成五股市區道路交通噩夢，特向行政院提出質詢。</w:t>
      </w:r>
    </w:p>
    <w:p w:rsidR="001C679B" w:rsidRPr="00DB4494" w:rsidRDefault="001C679B" w:rsidP="001C679B">
      <w:pPr>
        <w:pStyle w:val="a4"/>
        <w:spacing w:line="240" w:lineRule="auto"/>
        <w:ind w:left="633" w:hanging="633"/>
      </w:pPr>
    </w:p>
    <w:p w:rsidR="001C679B" w:rsidRDefault="001C679B" w:rsidP="001C679B">
      <w:pPr>
        <w:pStyle w:val="a4"/>
        <w:spacing w:line="380" w:lineRule="exact"/>
        <w:ind w:left="633" w:hanging="633"/>
      </w:pPr>
      <w:r>
        <w:rPr>
          <w:rFonts w:hint="eastAsia"/>
        </w:rPr>
        <w:t>說明：</w:t>
      </w:r>
    </w:p>
    <w:p w:rsidR="001C679B" w:rsidRDefault="001C679B" w:rsidP="001C679B">
      <w:pPr>
        <w:pStyle w:val="afffff0"/>
        <w:spacing w:line="380" w:lineRule="exact"/>
        <w:ind w:left="633" w:hanging="422"/>
      </w:pPr>
      <w:r>
        <w:rPr>
          <w:rFonts w:hint="eastAsia"/>
        </w:rPr>
        <w:t>一、查新北市政府報「淡水河北側沿河平面道路工程（淡水河北側沿河快速道路第一期工程替代方案）」之公共建設一案，行政院函指示另案辦理新設關渡新橋配套方案，並請新北市政府立即啟動可行性評估作業。</w:t>
      </w:r>
    </w:p>
    <w:p w:rsidR="001C679B" w:rsidRDefault="001C679B" w:rsidP="001C679B">
      <w:pPr>
        <w:pStyle w:val="afffff0"/>
        <w:spacing w:line="380" w:lineRule="exact"/>
        <w:ind w:left="633" w:hanging="422"/>
      </w:pPr>
      <w:r>
        <w:rPr>
          <w:rFonts w:hint="eastAsia"/>
        </w:rPr>
        <w:t>二、據查，新北市政府刻正辦理「淡水河兩岸幹線路網平衡（含關渡新橋及道路系統銜接）可行性策略評估」，待可行性評估完成後將送交通部及貴院審查。</w:t>
      </w:r>
    </w:p>
    <w:p w:rsidR="001C679B" w:rsidRDefault="001C679B" w:rsidP="001C679B">
      <w:pPr>
        <w:pStyle w:val="afffff0"/>
        <w:spacing w:line="380" w:lineRule="exact"/>
        <w:ind w:left="633" w:hanging="422"/>
      </w:pPr>
      <w:r>
        <w:rPr>
          <w:rFonts w:hint="eastAsia"/>
        </w:rPr>
        <w:t>三、若未同時辦理關渡新橋銜接觀音山隧道段，來自臺北市的車流將湧進</w:t>
      </w:r>
      <w:r>
        <w:rPr>
          <w:rFonts w:hint="eastAsia"/>
        </w:rPr>
        <w:t>103</w:t>
      </w:r>
      <w:r>
        <w:rPr>
          <w:rFonts w:hint="eastAsia"/>
        </w:rPr>
        <w:t>道路（八里龍米路、五股成泰路、蘆洲三民路等區域），甚至外溢至疏洪北路，造成五股、蘆洲市區道路壅塞，道路服務水準惡化。</w:t>
      </w:r>
    </w:p>
    <w:p w:rsidR="001C679B" w:rsidRDefault="001C679B" w:rsidP="001C679B">
      <w:pPr>
        <w:pStyle w:val="afffff0"/>
        <w:spacing w:line="380" w:lineRule="exact"/>
        <w:ind w:left="633" w:hanging="422"/>
      </w:pPr>
      <w:r>
        <w:rPr>
          <w:rFonts w:hint="eastAsia"/>
        </w:rPr>
        <w:t>四、本席建請貴院審查新北市政府此案可行性評估時，關渡新橋與穿越觀音山隧道及與台</w:t>
      </w:r>
      <w:r>
        <w:rPr>
          <w:rFonts w:hint="eastAsia"/>
        </w:rPr>
        <w:t>64</w:t>
      </w:r>
      <w:r>
        <w:rPr>
          <w:rFonts w:hint="eastAsia"/>
        </w:rPr>
        <w:t>快速道路之銜接工程不應切割，應為同計畫並同時進行工程，避免來自臺北市之分流車流，造成新北市五股、蘆洲區之市區交通夢魘，特向行政院提出質詢。</w:t>
      </w:r>
    </w:p>
    <w:p w:rsidR="001C679B" w:rsidRDefault="001C679B" w:rsidP="001C679B">
      <w:pPr>
        <w:pStyle w:val="afb"/>
        <w:ind w:left="1382" w:hanging="855"/>
      </w:pPr>
    </w:p>
    <w:p w:rsidR="001C679B" w:rsidRPr="002B799D" w:rsidRDefault="001C679B" w:rsidP="001C679B">
      <w:pPr>
        <w:pStyle w:val="afb"/>
        <w:spacing w:beforeLines="100" w:before="335" w:line="420" w:lineRule="exact"/>
        <w:ind w:leftChars="0" w:left="855" w:hanging="855"/>
      </w:pPr>
      <w:r>
        <w:rPr>
          <w:rFonts w:hint="eastAsia"/>
        </w:rPr>
        <w:t>（二）</w:t>
      </w:r>
      <w:r w:rsidRPr="002B799D">
        <w:rPr>
          <w:rFonts w:hint="eastAsia"/>
        </w:rPr>
        <w:t>本院李委員昆澤，針對國軍退除役官兵輔導委員會為照顧無職業榮民遺眷，核發榮民遺眷家戶代表證明，持有相關證明者至榮民醫療體系就醫可有掛號費、病房費等相關優惠，照顧榮民遺眷，然而榮民遺眷家戶代表僅限於一人，對於弱勢遺眷之照顧仍有精進空間，為落實照顧無職業榮民遺眷，退輔會應精進相關措施，並研議亡故榮民之弱勢高齡直系血親尊親屬皆可核發榮民遺眷家戶代表證明之可行性，以落實保障弱勢高齡之無職業榮民遺眷，特向行政院提出質詢。</w:t>
      </w:r>
    </w:p>
    <w:p w:rsidR="001C679B" w:rsidRPr="00DB4494" w:rsidRDefault="001C679B" w:rsidP="001C679B">
      <w:pPr>
        <w:pStyle w:val="a4"/>
        <w:spacing w:line="240" w:lineRule="auto"/>
        <w:ind w:left="633" w:hanging="633"/>
      </w:pPr>
    </w:p>
    <w:p w:rsidR="001C679B" w:rsidRDefault="001C679B" w:rsidP="001C679B">
      <w:pPr>
        <w:pStyle w:val="a4"/>
        <w:spacing w:line="380" w:lineRule="exact"/>
        <w:ind w:left="633" w:hanging="633"/>
      </w:pPr>
      <w:r>
        <w:rPr>
          <w:rFonts w:hint="eastAsia"/>
        </w:rPr>
        <w:t>說明：</w:t>
      </w:r>
    </w:p>
    <w:p w:rsidR="001C679B" w:rsidRDefault="001C679B" w:rsidP="001C679B">
      <w:pPr>
        <w:pStyle w:val="afffff0"/>
        <w:spacing w:line="380" w:lineRule="exact"/>
        <w:ind w:left="633" w:hanging="422"/>
      </w:pPr>
      <w:r>
        <w:rPr>
          <w:rFonts w:hint="eastAsia"/>
        </w:rPr>
        <w:t>一、國軍退除役官兵輔導委員會（以下稱本會）為照顧無職業榮民遺眷，核發榮民遺眷家戶代表證明文件，訂定國軍退除役官兵輔導委員會榮民遺眷家戶代表證核發作業規定。</w:t>
      </w:r>
    </w:p>
    <w:p w:rsidR="001C679B" w:rsidRDefault="001C679B" w:rsidP="001C679B">
      <w:pPr>
        <w:pStyle w:val="afffff0"/>
        <w:spacing w:line="380" w:lineRule="exact"/>
        <w:ind w:left="633" w:hanging="422"/>
      </w:pPr>
      <w:r>
        <w:rPr>
          <w:rFonts w:hint="eastAsia"/>
        </w:rPr>
        <w:t>二、依據國軍退除役官兵輔導委員會榮民遺眷家戶代表證核發作業規定，榮民遺眷家戶代表證由無職業之下列榮民遺眷擇一申領之：</w:t>
      </w:r>
    </w:p>
    <w:p w:rsidR="001C679B" w:rsidRDefault="001C679B" w:rsidP="001C679B">
      <w:pPr>
        <w:pStyle w:val="affffd"/>
        <w:spacing w:line="380" w:lineRule="exact"/>
        <w:ind w:leftChars="300" w:left="1055" w:hangingChars="200" w:hanging="422"/>
      </w:pPr>
      <w:r w:rsidRPr="00DB4494">
        <w:rPr>
          <w:rFonts w:ascii="細明體" w:hint="eastAsia"/>
        </w:rPr>
        <w:t>(</w:t>
      </w:r>
      <w:r>
        <w:rPr>
          <w:rFonts w:hint="eastAsia"/>
        </w:rPr>
        <w:t>一</w:t>
      </w:r>
      <w:r w:rsidRPr="00DB4494">
        <w:rPr>
          <w:rFonts w:ascii="細明體" w:hint="eastAsia"/>
        </w:rPr>
        <w:t>)</w:t>
      </w:r>
      <w:r>
        <w:rPr>
          <w:rFonts w:hint="eastAsia"/>
        </w:rPr>
        <w:t>亡故榮民之配偶，且未再婚者。</w:t>
      </w:r>
    </w:p>
    <w:p w:rsidR="001C679B" w:rsidRDefault="001C679B" w:rsidP="001C679B">
      <w:pPr>
        <w:pStyle w:val="affffd"/>
        <w:spacing w:line="380" w:lineRule="exact"/>
        <w:ind w:leftChars="300" w:left="1055" w:hangingChars="200" w:hanging="422"/>
      </w:pPr>
      <w:r w:rsidRPr="00DB4494">
        <w:rPr>
          <w:rFonts w:ascii="細明體" w:hint="eastAsia"/>
        </w:rPr>
        <w:t>(</w:t>
      </w:r>
      <w:r>
        <w:rPr>
          <w:rFonts w:hint="eastAsia"/>
        </w:rPr>
        <w:t>二</w:t>
      </w:r>
      <w:r w:rsidRPr="00DB4494">
        <w:rPr>
          <w:rFonts w:ascii="細明體" w:hint="eastAsia"/>
        </w:rPr>
        <w:t>)</w:t>
      </w:r>
      <w:r>
        <w:rPr>
          <w:rFonts w:hint="eastAsia"/>
        </w:rPr>
        <w:t>亡故榮民之直系血親尊親屬。</w:t>
      </w:r>
    </w:p>
    <w:p w:rsidR="001C679B" w:rsidRDefault="001C679B" w:rsidP="001C679B">
      <w:pPr>
        <w:pStyle w:val="affffd"/>
        <w:spacing w:line="380" w:lineRule="exact"/>
        <w:ind w:leftChars="300" w:left="1055" w:hangingChars="200" w:hanging="422"/>
      </w:pPr>
      <w:r w:rsidRPr="00DB4494">
        <w:rPr>
          <w:rFonts w:ascii="細明體" w:hint="eastAsia"/>
        </w:rPr>
        <w:t>(</w:t>
      </w:r>
      <w:r>
        <w:rPr>
          <w:rFonts w:hint="eastAsia"/>
        </w:rPr>
        <w:t>三</w:t>
      </w:r>
      <w:r w:rsidRPr="00DB4494">
        <w:rPr>
          <w:rFonts w:ascii="細明體" w:hint="eastAsia"/>
        </w:rPr>
        <w:t>)</w:t>
      </w:r>
      <w:r>
        <w:rPr>
          <w:rFonts w:hint="eastAsia"/>
        </w:rPr>
        <w:t>亡故榮民之未成年之未婚子女，或未滿二</w:t>
      </w:r>
      <w:r w:rsidRPr="00E01536">
        <w:rPr>
          <w:rFonts w:hint="eastAsia"/>
          <w:spacing w:val="-2"/>
        </w:rPr>
        <w:t>十五歲且就讀國內大學以下學校之未婚子女</w:t>
      </w:r>
      <w:r>
        <w:rPr>
          <w:rFonts w:hint="eastAsia"/>
        </w:rPr>
        <w:t>。</w:t>
      </w:r>
    </w:p>
    <w:p w:rsidR="001C679B" w:rsidRDefault="001C679B" w:rsidP="001C679B">
      <w:pPr>
        <w:pStyle w:val="affffd"/>
        <w:spacing w:line="380" w:lineRule="exact"/>
        <w:ind w:leftChars="300" w:left="1055" w:hangingChars="200" w:hanging="422"/>
      </w:pPr>
      <w:r w:rsidRPr="00DB4494">
        <w:rPr>
          <w:rFonts w:ascii="細明體" w:hint="eastAsia"/>
        </w:rPr>
        <w:t>(</w:t>
      </w:r>
      <w:r>
        <w:rPr>
          <w:rFonts w:hint="eastAsia"/>
        </w:rPr>
        <w:t>四</w:t>
      </w:r>
      <w:r w:rsidRPr="00DB4494">
        <w:rPr>
          <w:rFonts w:ascii="細明體" w:hint="eastAsia"/>
        </w:rPr>
        <w:t>)</w:t>
      </w:r>
      <w:r>
        <w:rPr>
          <w:rFonts w:hint="eastAsia"/>
        </w:rPr>
        <w:t>亡故榮民之持有中度以上身心障礙手冊之未婚子女。</w:t>
      </w:r>
    </w:p>
    <w:p w:rsidR="001C679B" w:rsidRDefault="001C679B" w:rsidP="001C679B">
      <w:pPr>
        <w:pStyle w:val="affffe"/>
        <w:spacing w:line="380" w:lineRule="exact"/>
        <w:ind w:leftChars="300" w:left="633" w:firstLineChars="0" w:firstLine="0"/>
      </w:pPr>
      <w:r>
        <w:rPr>
          <w:rFonts w:hint="eastAsia"/>
        </w:rPr>
        <w:t>而持有榮民遺眷家戶代表證者，至榮民醫療體系就醫可有掛號費、病房費等相關優惠，照顧榮民遺眷。</w:t>
      </w:r>
    </w:p>
    <w:p w:rsidR="001C679B" w:rsidRDefault="001C679B" w:rsidP="001C679B">
      <w:pPr>
        <w:pStyle w:val="afffff0"/>
        <w:spacing w:line="380" w:lineRule="exact"/>
        <w:ind w:left="633" w:hanging="422"/>
      </w:pPr>
      <w:r>
        <w:rPr>
          <w:rFonts w:hint="eastAsia"/>
        </w:rPr>
        <w:t>三、榮民遺眷家戶代表證之訂定目標為照顧榮民遺眷，然而每家戶限一人辦理，考量部分無職榮民遺眷為亡故榮民之直系血親尊親屬（父母），大多年邁、體弱，對於醫療照顧服務有高度需求，然而目前規定僅限一人辦理榮民遺眷家戶代表證，對於亡故榮民之弱勢高齡直系血親尊親屬之照顧顯有不足。</w:t>
      </w:r>
    </w:p>
    <w:p w:rsidR="001C679B" w:rsidRDefault="001C679B" w:rsidP="001C679B">
      <w:pPr>
        <w:pStyle w:val="afffff0"/>
        <w:spacing w:line="380" w:lineRule="exact"/>
        <w:ind w:left="633" w:hanging="422"/>
      </w:pPr>
      <w:r>
        <w:rPr>
          <w:rFonts w:hint="eastAsia"/>
        </w:rPr>
        <w:t>四、爰此，為落實照顧無職業榮民遺眷，退輔會應精進相關措施，針對辦理榮民遺眷家戶代表證，研議是否納入年齡、經濟條件等考量後，每家戶不以一人為限，以落實保障弱勢高齡之無職業榮民遺眷。</w:t>
      </w:r>
    </w:p>
    <w:p w:rsidR="001C679B" w:rsidRPr="002B799D" w:rsidRDefault="001C679B" w:rsidP="001C679B">
      <w:pPr>
        <w:pStyle w:val="afb"/>
        <w:spacing w:beforeLines="100" w:before="335" w:line="420" w:lineRule="exact"/>
        <w:ind w:leftChars="0" w:left="855" w:hanging="855"/>
      </w:pPr>
      <w:r>
        <w:rPr>
          <w:rFonts w:hint="eastAsia"/>
        </w:rPr>
        <w:t>（三）</w:t>
      </w:r>
      <w:r w:rsidRPr="002B799D">
        <w:rPr>
          <w:rFonts w:hint="eastAsia"/>
        </w:rPr>
        <w:t>本院吳委員秉叡，針對當前中國的經濟金融問題嚴峻，我國金融機構在中國的曝險雖然減少，但租賃業的曝險不減反增，主管機關金融監督管理委員會暨經濟部應持續加強監理，以降低風險，特向行政院提出質詢。</w:t>
      </w:r>
    </w:p>
    <w:p w:rsidR="001C679B" w:rsidRPr="00DB4494" w:rsidRDefault="001C679B" w:rsidP="001C679B">
      <w:pPr>
        <w:pStyle w:val="a4"/>
        <w:spacing w:line="240" w:lineRule="auto"/>
        <w:ind w:left="633" w:hanging="633"/>
      </w:pPr>
    </w:p>
    <w:p w:rsidR="001C679B" w:rsidRDefault="001C679B" w:rsidP="001C679B">
      <w:pPr>
        <w:pStyle w:val="a4"/>
        <w:spacing w:line="380" w:lineRule="exact"/>
        <w:ind w:left="633" w:hanging="633"/>
      </w:pPr>
      <w:r>
        <w:rPr>
          <w:rFonts w:hint="eastAsia"/>
        </w:rPr>
        <w:t>說明：</w:t>
      </w:r>
    </w:p>
    <w:p w:rsidR="001C679B" w:rsidRDefault="001C679B" w:rsidP="001C679B">
      <w:pPr>
        <w:pStyle w:val="afffff0"/>
        <w:spacing w:line="380" w:lineRule="exact"/>
        <w:ind w:left="633" w:hanging="422"/>
      </w:pPr>
      <w:r>
        <w:rPr>
          <w:rFonts w:hint="eastAsia"/>
        </w:rPr>
        <w:t>一、近半年來，中國經濟傳出一系列負面消息。</w:t>
      </w:r>
      <w:r>
        <w:rPr>
          <w:rFonts w:hint="eastAsia"/>
        </w:rPr>
        <w:t>7</w:t>
      </w:r>
      <w:r>
        <w:rPr>
          <w:rFonts w:hint="eastAsia"/>
        </w:rPr>
        <w:t>月，包括消費、投資和出口等在內的經濟數據呈現嚴重下滑趨勢。</w:t>
      </w:r>
      <w:r>
        <w:rPr>
          <w:rFonts w:hint="eastAsia"/>
        </w:rPr>
        <w:t>8</w:t>
      </w:r>
      <w:r>
        <w:rPr>
          <w:rFonts w:hint="eastAsia"/>
        </w:rPr>
        <w:t>月，模範建商碧桂園出現債務危機、最大資產管理公司中植集團的兌付問題，以及恒大集團在美國聲請破產保護等事件紛紛爆發。專家對中國經濟下行與通貨緊縮的擔憂不斷加深。同時，中國政府隱瞞失業率數據的舉措進一步助長了人們的憂慮情緒。根據綜合資料與統計數據，中國經濟正面臨嚴峻的挑戰，具體的現象包括：國家背負著巨額債務、面臨著通貨緊縮、外國投資正在銳減、生產力停滯不前、青年失業率超過</w:t>
      </w:r>
      <w:r>
        <w:rPr>
          <w:rFonts w:hint="eastAsia"/>
        </w:rPr>
        <w:t>20%</w:t>
      </w:r>
      <w:r>
        <w:rPr>
          <w:rFonts w:hint="eastAsia"/>
        </w:rPr>
        <w:t>、經濟正走向衰退……等等。</w:t>
      </w:r>
    </w:p>
    <w:p w:rsidR="001C679B" w:rsidRDefault="001C679B" w:rsidP="001C679B">
      <w:pPr>
        <w:pStyle w:val="afffff0"/>
        <w:spacing w:line="380" w:lineRule="exact"/>
        <w:ind w:left="633" w:hanging="422"/>
      </w:pPr>
      <w:r>
        <w:rPr>
          <w:rFonts w:hint="eastAsia"/>
        </w:rPr>
        <w:t>二、金融監督管理委會（下稱金管會）定期公布金融業在中國的曝險，截至今（</w:t>
      </w:r>
      <w:r>
        <w:rPr>
          <w:rFonts w:hint="eastAsia"/>
        </w:rPr>
        <w:t>112</w:t>
      </w:r>
      <w:r>
        <w:rPr>
          <w:rFonts w:hint="eastAsia"/>
        </w:rPr>
        <w:t>）年</w:t>
      </w:r>
      <w:r>
        <w:rPr>
          <w:rFonts w:hint="eastAsia"/>
        </w:rPr>
        <w:t>6</w:t>
      </w:r>
      <w:r>
        <w:rPr>
          <w:rFonts w:hint="eastAsia"/>
        </w:rPr>
        <w:t>月底止，我國金融三業對中國曝險合計</w:t>
      </w:r>
      <w:r>
        <w:rPr>
          <w:rFonts w:hint="eastAsia"/>
        </w:rPr>
        <w:t>1.12</w:t>
      </w:r>
      <w:r>
        <w:rPr>
          <w:rFonts w:hint="eastAsia"/>
        </w:rPr>
        <w:t>兆元，再創統計以來新低，較去年同期減少</w:t>
      </w:r>
      <w:r>
        <w:rPr>
          <w:rFonts w:hint="eastAsia"/>
        </w:rPr>
        <w:t>17.8%</w:t>
      </w:r>
      <w:r>
        <w:rPr>
          <w:rFonts w:hint="eastAsia"/>
        </w:rPr>
        <w:lastRenderedPageBreak/>
        <w:t>。其中銀行業曝險</w:t>
      </w:r>
      <w:r>
        <w:rPr>
          <w:rFonts w:hint="eastAsia"/>
        </w:rPr>
        <w:t>1</w:t>
      </w:r>
      <w:r>
        <w:rPr>
          <w:rFonts w:hint="eastAsia"/>
        </w:rPr>
        <w:t>兆</w:t>
      </w:r>
      <w:r>
        <w:rPr>
          <w:rFonts w:hint="eastAsia"/>
        </w:rPr>
        <w:t>102</w:t>
      </w:r>
      <w:r>
        <w:rPr>
          <w:rFonts w:hint="eastAsia"/>
        </w:rPr>
        <w:t>億元，占結算淨值的比率從</w:t>
      </w:r>
      <w:r>
        <w:rPr>
          <w:rFonts w:hint="eastAsia"/>
        </w:rPr>
        <w:t>25.6%</w:t>
      </w:r>
      <w:r>
        <w:rPr>
          <w:rFonts w:hint="eastAsia"/>
        </w:rPr>
        <w:t>降至</w:t>
      </w:r>
      <w:r>
        <w:rPr>
          <w:rFonts w:hint="eastAsia"/>
        </w:rPr>
        <w:t>23.9%</w:t>
      </w:r>
      <w:r>
        <w:rPr>
          <w:rFonts w:hint="eastAsia"/>
        </w:rPr>
        <w:t>，為</w:t>
      </w:r>
      <w:r>
        <w:rPr>
          <w:rFonts w:hint="eastAsia"/>
        </w:rPr>
        <w:t>10</w:t>
      </w:r>
      <w:r>
        <w:rPr>
          <w:rFonts w:hint="eastAsia"/>
        </w:rPr>
        <w:t>年來新低。其次為保險業</w:t>
      </w:r>
      <w:r>
        <w:rPr>
          <w:rFonts w:hint="eastAsia"/>
        </w:rPr>
        <w:t>947</w:t>
      </w:r>
      <w:r>
        <w:rPr>
          <w:rFonts w:hint="eastAsia"/>
        </w:rPr>
        <w:t>億元、證券期貨投信業</w:t>
      </w:r>
      <w:r>
        <w:rPr>
          <w:rFonts w:hint="eastAsia"/>
        </w:rPr>
        <w:t>157.28</w:t>
      </w:r>
      <w:r>
        <w:rPr>
          <w:rFonts w:hint="eastAsia"/>
        </w:rPr>
        <w:t>億元，均較去年同期大幅減少。</w:t>
      </w:r>
    </w:p>
    <w:p w:rsidR="001C679B" w:rsidRDefault="001C679B" w:rsidP="001C679B">
      <w:pPr>
        <w:pStyle w:val="afffff0"/>
        <w:spacing w:line="380" w:lineRule="exact"/>
        <w:ind w:left="633" w:hanging="422"/>
      </w:pPr>
      <w:r>
        <w:rPr>
          <w:rFonts w:hint="eastAsia"/>
        </w:rPr>
        <w:t>三、據瞭解，金融三業均無持有恆大地產曝險部位，僅有</w:t>
      </w:r>
      <w:r>
        <w:rPr>
          <w:rFonts w:hint="eastAsia"/>
        </w:rPr>
        <w:t>14</w:t>
      </w:r>
      <w:r>
        <w:rPr>
          <w:rFonts w:hint="eastAsia"/>
        </w:rPr>
        <w:t>檔投信基金持有約新台幣</w:t>
      </w:r>
      <w:r>
        <w:rPr>
          <w:rFonts w:hint="eastAsia"/>
        </w:rPr>
        <w:t>0.56</w:t>
      </w:r>
      <w:r>
        <w:rPr>
          <w:rFonts w:hint="eastAsia"/>
        </w:rPr>
        <w:t>億元曝險部位。至於碧桂園，金融三業曝險合計逾</w:t>
      </w:r>
      <w:r>
        <w:rPr>
          <w:rFonts w:hint="eastAsia"/>
        </w:rPr>
        <w:t>3</w:t>
      </w:r>
      <w:r>
        <w:rPr>
          <w:rFonts w:hint="eastAsia"/>
        </w:rPr>
        <w:t>億元，包括本國銀行授信曝險</w:t>
      </w:r>
      <w:r>
        <w:rPr>
          <w:rFonts w:hint="eastAsia"/>
        </w:rPr>
        <w:t>902</w:t>
      </w:r>
      <w:r>
        <w:rPr>
          <w:rFonts w:hint="eastAsia"/>
        </w:rPr>
        <w:t>萬美元（約新台幣</w:t>
      </w:r>
      <w:r>
        <w:rPr>
          <w:rFonts w:hint="eastAsia"/>
        </w:rPr>
        <w:t>2.88</w:t>
      </w:r>
      <w:r>
        <w:rPr>
          <w:rFonts w:hint="eastAsia"/>
        </w:rPr>
        <w:t>億元）、保險業零曝險、證券自營商曝險</w:t>
      </w:r>
      <w:r>
        <w:rPr>
          <w:rFonts w:hint="eastAsia"/>
        </w:rPr>
        <w:t>1,977</w:t>
      </w:r>
      <w:r>
        <w:rPr>
          <w:rFonts w:hint="eastAsia"/>
        </w:rPr>
        <w:t>萬元。整體曝險雖在可接受的範圍內，惟金管會仍須加強監理，並責成金融機構持續密切注意中國經濟金融情勢變化，儘速調整部位策略，俾有效控制風險。</w:t>
      </w:r>
    </w:p>
    <w:p w:rsidR="001C679B" w:rsidRDefault="001C679B" w:rsidP="001C679B">
      <w:pPr>
        <w:pStyle w:val="afffff0"/>
        <w:spacing w:line="380" w:lineRule="exact"/>
        <w:ind w:left="633" w:hanging="422"/>
      </w:pPr>
      <w:r>
        <w:rPr>
          <w:rFonts w:hint="eastAsia"/>
        </w:rPr>
        <w:t>四、另，根據租賃公會統計資料，整體租賃業締結契約金額，涵蓋設備租賃、分期付款等營業項目的業績總量，從</w:t>
      </w:r>
      <w:r>
        <w:rPr>
          <w:rFonts w:hint="eastAsia"/>
        </w:rPr>
        <w:t>2020</w:t>
      </w:r>
      <w:r>
        <w:rPr>
          <w:rFonts w:hint="eastAsia"/>
        </w:rPr>
        <w:t>年新冠肺炎疫情爆發以來迄今均維持二位數的強勁成長。</w:t>
      </w:r>
      <w:r>
        <w:rPr>
          <w:rFonts w:hint="eastAsia"/>
        </w:rPr>
        <w:t>2020</w:t>
      </w:r>
      <w:r>
        <w:rPr>
          <w:rFonts w:hint="eastAsia"/>
        </w:rPr>
        <w:t>年全球疫情興起，全年業務量創下</w:t>
      </w:r>
      <w:r>
        <w:rPr>
          <w:rFonts w:hint="eastAsia"/>
        </w:rPr>
        <w:t>5,172.2</w:t>
      </w:r>
      <w:r>
        <w:rPr>
          <w:rFonts w:hint="eastAsia"/>
        </w:rPr>
        <w:t>億元的歷史新高，</w:t>
      </w:r>
      <w:r>
        <w:rPr>
          <w:rFonts w:hint="eastAsia"/>
        </w:rPr>
        <w:t>2021</w:t>
      </w:r>
      <w:r>
        <w:rPr>
          <w:rFonts w:hint="eastAsia"/>
        </w:rPr>
        <w:t>年年增率</w:t>
      </w:r>
      <w:r>
        <w:rPr>
          <w:rFonts w:hint="eastAsia"/>
        </w:rPr>
        <w:t>23%</w:t>
      </w:r>
      <w:r>
        <w:rPr>
          <w:rFonts w:hint="eastAsia"/>
        </w:rPr>
        <w:t>，整體業務量達到</w:t>
      </w:r>
      <w:r>
        <w:rPr>
          <w:rFonts w:hint="eastAsia"/>
        </w:rPr>
        <w:t>6,379</w:t>
      </w:r>
      <w:r>
        <w:rPr>
          <w:rFonts w:hint="eastAsia"/>
        </w:rPr>
        <w:t>億元，</w:t>
      </w:r>
      <w:r>
        <w:rPr>
          <w:rFonts w:hint="eastAsia"/>
        </w:rPr>
        <w:t>2022</w:t>
      </w:r>
      <w:r>
        <w:rPr>
          <w:rFonts w:hint="eastAsia"/>
        </w:rPr>
        <w:t>年年增率逾</w:t>
      </w:r>
      <w:r>
        <w:rPr>
          <w:rFonts w:hint="eastAsia"/>
        </w:rPr>
        <w:t>13%</w:t>
      </w:r>
      <w:r>
        <w:rPr>
          <w:rFonts w:hint="eastAsia"/>
        </w:rPr>
        <w:t>，業務量達</w:t>
      </w:r>
      <w:r>
        <w:rPr>
          <w:rFonts w:hint="eastAsia"/>
        </w:rPr>
        <w:t>7,252</w:t>
      </w:r>
      <w:r>
        <w:rPr>
          <w:rFonts w:hint="eastAsia"/>
        </w:rPr>
        <w:t>億元，續創新高。</w:t>
      </w:r>
    </w:p>
    <w:p w:rsidR="001C679B" w:rsidRDefault="001C679B" w:rsidP="001C679B">
      <w:pPr>
        <w:pStyle w:val="afffff0"/>
        <w:spacing w:line="380" w:lineRule="exact"/>
        <w:ind w:left="633" w:hanging="422"/>
      </w:pPr>
      <w:r>
        <w:rPr>
          <w:rFonts w:hint="eastAsia"/>
        </w:rPr>
        <w:t>五、我國金融業或非金融業於</w:t>
      </w:r>
      <w:r>
        <w:rPr>
          <w:rFonts w:hint="eastAsia"/>
        </w:rPr>
        <w:t>2013</w:t>
      </w:r>
      <w:r>
        <w:rPr>
          <w:rFonts w:hint="eastAsia"/>
        </w:rPr>
        <w:t>年前後在中國開始設立租賃業務據點，積極進軍中國租賃市場，迄</w:t>
      </w:r>
      <w:r>
        <w:rPr>
          <w:rFonts w:hint="eastAsia"/>
        </w:rPr>
        <w:t>2022</w:t>
      </w:r>
      <w:r>
        <w:rPr>
          <w:rFonts w:hint="eastAsia"/>
        </w:rPr>
        <w:t>年底，約有</w:t>
      </w:r>
      <w:r>
        <w:rPr>
          <w:rFonts w:hint="eastAsia"/>
        </w:rPr>
        <w:t>26</w:t>
      </w:r>
      <w:r>
        <w:rPr>
          <w:rFonts w:hint="eastAsia"/>
        </w:rPr>
        <w:t>家租賃公司在中國設立分公司或其他型式之營業據點，大力推展業務。</w:t>
      </w:r>
    </w:p>
    <w:p w:rsidR="001C679B" w:rsidRDefault="001C679B" w:rsidP="001C679B">
      <w:pPr>
        <w:pStyle w:val="afffff0"/>
        <w:spacing w:line="380" w:lineRule="exact"/>
        <w:ind w:left="633" w:hanging="422"/>
      </w:pPr>
      <w:r>
        <w:rPr>
          <w:rFonts w:hint="eastAsia"/>
        </w:rPr>
        <w:t>六、中國因疫情採行嚴格封控政策，</w:t>
      </w:r>
      <w:r>
        <w:rPr>
          <w:rFonts w:hint="eastAsia"/>
        </w:rPr>
        <w:t>2022</w:t>
      </w:r>
      <w:r>
        <w:rPr>
          <w:rFonts w:hint="eastAsia"/>
        </w:rPr>
        <w:t>年影響許多行業營運，我國在中國的租賃公司卻反而表現亮麗，除一家虧損外，整體超過</w:t>
      </w:r>
      <w:r>
        <w:rPr>
          <w:rFonts w:hint="eastAsia"/>
        </w:rPr>
        <w:t>26</w:t>
      </w:r>
      <w:r>
        <w:rPr>
          <w:rFonts w:hint="eastAsia"/>
        </w:rPr>
        <w:t>家租賃公司</w:t>
      </w:r>
      <w:r>
        <w:rPr>
          <w:rFonts w:hint="eastAsia"/>
        </w:rPr>
        <w:t>2022</w:t>
      </w:r>
      <w:r>
        <w:rPr>
          <w:rFonts w:hint="eastAsia"/>
        </w:rPr>
        <w:t>年累計稅後盈餘達</w:t>
      </w:r>
      <w:r>
        <w:rPr>
          <w:rFonts w:hint="eastAsia"/>
        </w:rPr>
        <w:t>172.09</w:t>
      </w:r>
      <w:r>
        <w:rPr>
          <w:rFonts w:hint="eastAsia"/>
        </w:rPr>
        <w:t>億元，創下歷史新高，較前一年</w:t>
      </w:r>
      <w:r>
        <w:rPr>
          <w:rFonts w:hint="eastAsia"/>
        </w:rPr>
        <w:t>164.09</w:t>
      </w:r>
      <w:r>
        <w:rPr>
          <w:rFonts w:hint="eastAsia"/>
        </w:rPr>
        <w:t>億元成長</w:t>
      </w:r>
      <w:r>
        <w:rPr>
          <w:rFonts w:hint="eastAsia"/>
        </w:rPr>
        <w:t>4.88%</w:t>
      </w:r>
      <w:r>
        <w:rPr>
          <w:rFonts w:hint="eastAsia"/>
        </w:rPr>
        <w:t>，更較</w:t>
      </w:r>
      <w:r>
        <w:rPr>
          <w:rFonts w:hint="eastAsia"/>
        </w:rPr>
        <w:t>2020</w:t>
      </w:r>
      <w:r>
        <w:rPr>
          <w:rFonts w:hint="eastAsia"/>
        </w:rPr>
        <w:t>年之</w:t>
      </w:r>
      <w:r>
        <w:rPr>
          <w:rFonts w:hint="eastAsia"/>
        </w:rPr>
        <w:t>102.68</w:t>
      </w:r>
      <w:r>
        <w:rPr>
          <w:rFonts w:hint="eastAsia"/>
        </w:rPr>
        <w:t>億元成長</w:t>
      </w:r>
      <w:r>
        <w:rPr>
          <w:rFonts w:hint="eastAsia"/>
        </w:rPr>
        <w:t>67.60%</w:t>
      </w:r>
      <w:r>
        <w:rPr>
          <w:rFonts w:hint="eastAsia"/>
        </w:rPr>
        <w:t>，不難看出我國租賃業無視中國的整體風險，逆向暴衝業績。而我國金融業轉投資中國設立的</w:t>
      </w:r>
      <w:r>
        <w:rPr>
          <w:rFonts w:hint="eastAsia"/>
        </w:rPr>
        <w:t>15</w:t>
      </w:r>
      <w:r>
        <w:rPr>
          <w:rFonts w:hint="eastAsia"/>
        </w:rPr>
        <w:t>家租賃公司中，近</w:t>
      </w:r>
      <w:r>
        <w:rPr>
          <w:rFonts w:hint="eastAsia"/>
        </w:rPr>
        <w:t>10</w:t>
      </w:r>
      <w:r>
        <w:rPr>
          <w:rFonts w:hint="eastAsia"/>
        </w:rPr>
        <w:t>年累計獲利則是剩下</w:t>
      </w:r>
      <w:r>
        <w:rPr>
          <w:rFonts w:hint="eastAsia"/>
        </w:rPr>
        <w:t>4</w:t>
      </w:r>
      <w:r>
        <w:rPr>
          <w:rFonts w:hint="eastAsia"/>
        </w:rPr>
        <w:t>家獲利尚未轉正，其餘累計都已經賺錢。在在顯示租賃業在中國的業務發展已處於過度曝險的局面。</w:t>
      </w:r>
    </w:p>
    <w:p w:rsidR="000B3161" w:rsidRDefault="001C679B" w:rsidP="001C679B">
      <w:pPr>
        <w:pStyle w:val="afffff0"/>
        <w:spacing w:line="380" w:lineRule="exact"/>
        <w:ind w:left="633" w:hanging="422"/>
      </w:pPr>
      <w:r>
        <w:rPr>
          <w:rFonts w:hint="eastAsia"/>
        </w:rPr>
        <w:t>七、由於我國對租賃業的管理尚有諸多待精進之處；在國內，政府拚命打房炒房，緊縮建築融資時，租賃公司卻成為「影子銀行」，為建築業開啟一扇看不見的後門。在中國，租賃業積極開設分支據點，擴展業務，而主管機關之監理法令尚未完整，監理政策亦欠明確，導致在中國的曝險餘額一再擴大，尤其在當前中國經濟金融環境極端惡劣之際，卻未見業者及主管機關有積極對應策略。職是之故，特向行政院提出質詢，請主管機關金管會暨經濟部應持續加強監理，強化法令，並</w:t>
      </w:r>
      <w:r w:rsidRPr="00E01536">
        <w:rPr>
          <w:rFonts w:hint="eastAsia"/>
          <w:spacing w:val="-2"/>
        </w:rPr>
        <w:t>提出具體監理政策，以健全產業發展，並降低相關風險</w:t>
      </w:r>
      <w:r>
        <w:rPr>
          <w:rFonts w:hint="eastAsia"/>
        </w:rPr>
        <w:t>。</w:t>
      </w:r>
    </w:p>
    <w:p w:rsidR="000B3161" w:rsidRDefault="000B3161" w:rsidP="000B3161">
      <w:pPr>
        <w:rPr>
          <w:kern w:val="0"/>
        </w:rPr>
      </w:pPr>
      <w:r>
        <w:br w:type="page"/>
      </w:r>
    </w:p>
    <w:p w:rsidR="001C679B" w:rsidRPr="000B3161" w:rsidRDefault="001C679B" w:rsidP="000B3161">
      <w:bookmarkStart w:id="0" w:name="_GoBack"/>
      <w:bookmarkEnd w:id="0"/>
    </w:p>
    <w:sectPr w:rsidR="001C679B" w:rsidRPr="000B3161" w:rsidSect="000B3161">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23"/>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2A1" w:rsidRDefault="00C702A1">
      <w:r>
        <w:separator/>
      </w:r>
    </w:p>
  </w:endnote>
  <w:endnote w:type="continuationSeparator" w:id="0">
    <w:p w:rsidR="00C702A1" w:rsidRDefault="00C70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61" w:rsidRDefault="000B3161">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B3161" w:rsidRPr="000B3161" w:rsidRDefault="000B3161" w:rsidP="000B3161">
                          <w:pPr>
                            <w:spacing w:line="210" w:lineRule="exact"/>
                            <w:jc w:val="center"/>
                          </w:pPr>
                          <w:r>
                            <w:fldChar w:fldCharType="begin"/>
                          </w:r>
                          <w:r>
                            <w:instrText xml:space="preserve"> PAGE  \* MERGEFORMAT </w:instrText>
                          </w:r>
                          <w:r>
                            <w:fldChar w:fldCharType="separate"/>
                          </w:r>
                          <w:r w:rsidR="00280CDF">
                            <w:t>26</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ps8QBAMDAABdBgAADgAAAAAAAAAAAAAAAAAuAgAAZHJzL2Uyb0RvYy54bWxQ&#10;SwECLQAUAAYACAAAACEAG7Ayo98AAAAHAQAADwAAAAAAAAAAAAAAAABdBQAAZHJzL2Rvd25yZXYu&#10;eG1sUEsFBgAAAAAEAAQA8wAAAGkGAAAAAA==&#10;" filled="f" stroked="f" strokeweight=".5pt">
              <v:textbox>
                <w:txbxContent>
                  <w:p w:rsidR="000B3161" w:rsidRPr="000B3161" w:rsidRDefault="000B3161" w:rsidP="000B3161">
                    <w:pPr>
                      <w:spacing w:line="210" w:lineRule="exact"/>
                      <w:jc w:val="center"/>
                    </w:pPr>
                    <w:r>
                      <w:fldChar w:fldCharType="begin"/>
                    </w:r>
                    <w:r>
                      <w:instrText xml:space="preserve"> PAGE  \* MERGEFORMAT </w:instrText>
                    </w:r>
                    <w:r>
                      <w:fldChar w:fldCharType="separate"/>
                    </w:r>
                    <w:r w:rsidR="00280CDF">
                      <w:t>26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61" w:rsidRDefault="000B3161">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B3161" w:rsidRPr="000B3161" w:rsidRDefault="000B3161" w:rsidP="000B3161">
                          <w:pPr>
                            <w:spacing w:line="210" w:lineRule="exact"/>
                            <w:jc w:val="center"/>
                          </w:pPr>
                          <w:r>
                            <w:fldChar w:fldCharType="begin"/>
                          </w:r>
                          <w:r>
                            <w:instrText xml:space="preserve"> PAGE  \* MERGEFORMAT </w:instrText>
                          </w:r>
                          <w:r>
                            <w:fldChar w:fldCharType="separate"/>
                          </w:r>
                          <w:r w:rsidR="00280CDF">
                            <w:t>25</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" filled="f" stroked="f" strokeweight=".5pt">
              <v:textbox>
                <w:txbxContent>
                  <w:p w:rsidR="000B3161" w:rsidRPr="000B3161" w:rsidRDefault="000B3161" w:rsidP="000B3161">
                    <w:pPr>
                      <w:spacing w:line="210" w:lineRule="exact"/>
                      <w:jc w:val="center"/>
                    </w:pPr>
                    <w:r>
                      <w:fldChar w:fldCharType="begin"/>
                    </w:r>
                    <w:r>
                      <w:instrText xml:space="preserve"> PAGE  \* MERGEFORMAT </w:instrText>
                    </w:r>
                    <w:r>
                      <w:fldChar w:fldCharType="separate"/>
                    </w:r>
                    <w:r w:rsidR="00280CDF">
                      <w:t>25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2A1" w:rsidRDefault="00C702A1">
      <w:r>
        <w:separator/>
      </w:r>
    </w:p>
  </w:footnote>
  <w:footnote w:type="continuationSeparator" w:id="0">
    <w:p w:rsidR="00C702A1" w:rsidRDefault="00C702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61" w:rsidRDefault="000B3161">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B3161" w:rsidRPr="000B3161" w:rsidRDefault="000B3161" w:rsidP="000B3161">
                          <w:pPr>
                            <w:spacing w:line="294" w:lineRule="exact"/>
                            <w:jc w:val="left"/>
                          </w:pPr>
                          <w:r>
                            <w:rPr>
                              <w:rFonts w:hint="eastAsia"/>
                            </w:rPr>
                            <w:t>立法院公報　第</w:t>
                          </w:r>
                          <w:r>
                            <w:rPr>
                              <w:rFonts w:hint="eastAsia"/>
                            </w:rPr>
                            <w:t>112</w:t>
                          </w:r>
                          <w:r>
                            <w:rPr>
                              <w:rFonts w:hint="eastAsia"/>
                            </w:rPr>
                            <w:t>卷　第</w:t>
                          </w:r>
                          <w:r>
                            <w:rPr>
                              <w:rFonts w:hint="eastAsia"/>
                            </w:rPr>
                            <w:t>63</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Cf3XasCAwAAVgYAAA4AAAAAAAAAAAAAAAAALgIAAGRycy9lMm9Eb2MueG1sUEsB&#10;Ai0AFAAGAAgAAAAhAKjJm8neAAAABwEAAA8AAAAAAAAAAAAAAAAAXAUAAGRycy9kb3ducmV2Lnht&#10;bFBLBQYAAAAABAAEAPMAAABnBgAAAAA=&#10;" filled="f" stroked="f" strokeweight=".5pt">
              <v:fill o:detectmouseclick="t"/>
              <v:textbox>
                <w:txbxContent>
                  <w:p w:rsidR="000B3161" w:rsidRPr="000B3161" w:rsidRDefault="000B3161" w:rsidP="000B3161">
                    <w:pPr>
                      <w:spacing w:line="294" w:lineRule="exact"/>
                      <w:jc w:val="left"/>
                    </w:pPr>
                    <w:r>
                      <w:rPr>
                        <w:rFonts w:hint="eastAsia"/>
                      </w:rPr>
                      <w:t>立法院公報　第</w:t>
                    </w:r>
                    <w:r>
                      <w:rPr>
                        <w:rFonts w:hint="eastAsia"/>
                      </w:rPr>
                      <w:t>112</w:t>
                    </w:r>
                    <w:r>
                      <w:rPr>
                        <w:rFonts w:hint="eastAsia"/>
                      </w:rPr>
                      <w:t>卷　第</w:t>
                    </w:r>
                    <w:r>
                      <w:rPr>
                        <w:rFonts w:hint="eastAsia"/>
                      </w:rPr>
                      <w:t>63</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61" w:rsidRDefault="000B3161">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B3161" w:rsidRPr="000B3161" w:rsidRDefault="000B3161" w:rsidP="000B3161">
                          <w:pPr>
                            <w:spacing w:line="294" w:lineRule="exact"/>
                            <w:jc w:val="right"/>
                          </w:pPr>
                          <w:r>
                            <w:rPr>
                              <w:rFonts w:hint="eastAsia"/>
                            </w:rPr>
                            <w:t>立法院公報　第</w:t>
                          </w:r>
                          <w:r>
                            <w:rPr>
                              <w:rFonts w:hint="eastAsia"/>
                            </w:rPr>
                            <w:t>112</w:t>
                          </w:r>
                          <w:r>
                            <w:rPr>
                              <w:rFonts w:hint="eastAsia"/>
                            </w:rPr>
                            <w:t>卷　第</w:t>
                          </w:r>
                          <w:r>
                            <w:rPr>
                              <w:rFonts w:hint="eastAsia"/>
                            </w:rPr>
                            <w:t>63</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HzBA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1/2x8wQDAABdBgAADgAAAAAAAAAAAAAAAAAuAgAAZHJzL2Uyb0RvYy54bWxQ&#10;SwECLQAUAAYACAAAACEAqMmbyd4AAAAHAQAADwAAAAAAAAAAAAAAAABeBQAAZHJzL2Rvd25yZXYu&#10;eG1sUEsFBgAAAAAEAAQA8wAAAGkGAAAAAA==&#10;" filled="f" stroked="f" strokeweight=".5pt">
              <v:fill o:detectmouseclick="t"/>
              <v:textbox>
                <w:txbxContent>
                  <w:p w:rsidR="000B3161" w:rsidRPr="000B3161" w:rsidRDefault="000B3161" w:rsidP="000B3161">
                    <w:pPr>
                      <w:spacing w:line="294" w:lineRule="exact"/>
                      <w:jc w:val="right"/>
                    </w:pPr>
                    <w:r>
                      <w:rPr>
                        <w:rFonts w:hint="eastAsia"/>
                      </w:rPr>
                      <w:t>立法院公報　第</w:t>
                    </w:r>
                    <w:r>
                      <w:rPr>
                        <w:rFonts w:hint="eastAsia"/>
                      </w:rPr>
                      <w:t>112</w:t>
                    </w:r>
                    <w:r>
                      <w:rPr>
                        <w:rFonts w:hint="eastAsia"/>
                      </w:rPr>
                      <w:t>卷　第</w:t>
                    </w:r>
                    <w:r>
                      <w:rPr>
                        <w:rFonts w:hint="eastAsia"/>
                      </w:rPr>
                      <w:t>63</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CCE"/>
    <w:rsid w:val="00021974"/>
    <w:rsid w:val="000322E4"/>
    <w:rsid w:val="00034179"/>
    <w:rsid w:val="0006260D"/>
    <w:rsid w:val="0007483B"/>
    <w:rsid w:val="00092EFA"/>
    <w:rsid w:val="000B190B"/>
    <w:rsid w:val="000B3161"/>
    <w:rsid w:val="000C6344"/>
    <w:rsid w:val="000D2076"/>
    <w:rsid w:val="000E3372"/>
    <w:rsid w:val="000F48AA"/>
    <w:rsid w:val="001132D3"/>
    <w:rsid w:val="001166AB"/>
    <w:rsid w:val="00123301"/>
    <w:rsid w:val="00130626"/>
    <w:rsid w:val="001346DF"/>
    <w:rsid w:val="00152E55"/>
    <w:rsid w:val="00174DC3"/>
    <w:rsid w:val="001776A7"/>
    <w:rsid w:val="00192966"/>
    <w:rsid w:val="001A0A32"/>
    <w:rsid w:val="001A5138"/>
    <w:rsid w:val="001A7C69"/>
    <w:rsid w:val="001C679B"/>
    <w:rsid w:val="001E1A19"/>
    <w:rsid w:val="001E385A"/>
    <w:rsid w:val="00235073"/>
    <w:rsid w:val="00235BD9"/>
    <w:rsid w:val="00240FA3"/>
    <w:rsid w:val="0024333A"/>
    <w:rsid w:val="00243679"/>
    <w:rsid w:val="00252A12"/>
    <w:rsid w:val="00280CDF"/>
    <w:rsid w:val="00293B0A"/>
    <w:rsid w:val="002A04DC"/>
    <w:rsid w:val="002A509E"/>
    <w:rsid w:val="002C335B"/>
    <w:rsid w:val="00337CCE"/>
    <w:rsid w:val="00355CB3"/>
    <w:rsid w:val="00360394"/>
    <w:rsid w:val="00362E94"/>
    <w:rsid w:val="00372E8D"/>
    <w:rsid w:val="00387860"/>
    <w:rsid w:val="003A00D7"/>
    <w:rsid w:val="003B341B"/>
    <w:rsid w:val="004034F0"/>
    <w:rsid w:val="004047CB"/>
    <w:rsid w:val="004126B4"/>
    <w:rsid w:val="0042704C"/>
    <w:rsid w:val="0044045C"/>
    <w:rsid w:val="00441B24"/>
    <w:rsid w:val="00453F8A"/>
    <w:rsid w:val="00473B4E"/>
    <w:rsid w:val="00485C17"/>
    <w:rsid w:val="004D78BA"/>
    <w:rsid w:val="004E74DF"/>
    <w:rsid w:val="00542984"/>
    <w:rsid w:val="00552448"/>
    <w:rsid w:val="005B1DB0"/>
    <w:rsid w:val="005D0685"/>
    <w:rsid w:val="00632430"/>
    <w:rsid w:val="00655703"/>
    <w:rsid w:val="006873C4"/>
    <w:rsid w:val="006B2CB0"/>
    <w:rsid w:val="006C7F9F"/>
    <w:rsid w:val="006D7D23"/>
    <w:rsid w:val="006E2402"/>
    <w:rsid w:val="006E3C20"/>
    <w:rsid w:val="006F10CF"/>
    <w:rsid w:val="006F5861"/>
    <w:rsid w:val="00722A05"/>
    <w:rsid w:val="00732BD2"/>
    <w:rsid w:val="00735FD8"/>
    <w:rsid w:val="007776A4"/>
    <w:rsid w:val="00781901"/>
    <w:rsid w:val="007908D5"/>
    <w:rsid w:val="00794FA3"/>
    <w:rsid w:val="007A1C27"/>
    <w:rsid w:val="007A4599"/>
    <w:rsid w:val="007C4084"/>
    <w:rsid w:val="007D04A0"/>
    <w:rsid w:val="007E74DC"/>
    <w:rsid w:val="007F7A16"/>
    <w:rsid w:val="00861B21"/>
    <w:rsid w:val="00863C32"/>
    <w:rsid w:val="00864C67"/>
    <w:rsid w:val="00883D74"/>
    <w:rsid w:val="008A0C5D"/>
    <w:rsid w:val="008B4209"/>
    <w:rsid w:val="008E5D88"/>
    <w:rsid w:val="0090241A"/>
    <w:rsid w:val="00926F56"/>
    <w:rsid w:val="00963798"/>
    <w:rsid w:val="00992003"/>
    <w:rsid w:val="009C16B2"/>
    <w:rsid w:val="009C3904"/>
    <w:rsid w:val="009D3F34"/>
    <w:rsid w:val="009E10F6"/>
    <w:rsid w:val="00A05B7F"/>
    <w:rsid w:val="00A0600A"/>
    <w:rsid w:val="00A13259"/>
    <w:rsid w:val="00A32A9C"/>
    <w:rsid w:val="00A678DC"/>
    <w:rsid w:val="00A80A44"/>
    <w:rsid w:val="00A86BD4"/>
    <w:rsid w:val="00A876DC"/>
    <w:rsid w:val="00AA2ADF"/>
    <w:rsid w:val="00AC692A"/>
    <w:rsid w:val="00AC6A09"/>
    <w:rsid w:val="00AD6810"/>
    <w:rsid w:val="00B15BB5"/>
    <w:rsid w:val="00B278AB"/>
    <w:rsid w:val="00B40364"/>
    <w:rsid w:val="00BA71D7"/>
    <w:rsid w:val="00BB5684"/>
    <w:rsid w:val="00BE0A55"/>
    <w:rsid w:val="00BF63AF"/>
    <w:rsid w:val="00C201E0"/>
    <w:rsid w:val="00C216C6"/>
    <w:rsid w:val="00C50091"/>
    <w:rsid w:val="00C702A1"/>
    <w:rsid w:val="00C84B2E"/>
    <w:rsid w:val="00C93CE2"/>
    <w:rsid w:val="00C9556F"/>
    <w:rsid w:val="00C9653B"/>
    <w:rsid w:val="00CD541C"/>
    <w:rsid w:val="00CE016C"/>
    <w:rsid w:val="00CF12AE"/>
    <w:rsid w:val="00CF6866"/>
    <w:rsid w:val="00D03570"/>
    <w:rsid w:val="00D05F85"/>
    <w:rsid w:val="00D07EA1"/>
    <w:rsid w:val="00D22A25"/>
    <w:rsid w:val="00D32121"/>
    <w:rsid w:val="00D542A5"/>
    <w:rsid w:val="00D65F9F"/>
    <w:rsid w:val="00D84D2B"/>
    <w:rsid w:val="00D922B6"/>
    <w:rsid w:val="00DA65B7"/>
    <w:rsid w:val="00DA6A2B"/>
    <w:rsid w:val="00DA7D72"/>
    <w:rsid w:val="00DC2697"/>
    <w:rsid w:val="00DE0D1A"/>
    <w:rsid w:val="00DF37C2"/>
    <w:rsid w:val="00DF389A"/>
    <w:rsid w:val="00E049FB"/>
    <w:rsid w:val="00E10D3F"/>
    <w:rsid w:val="00E174AB"/>
    <w:rsid w:val="00E20354"/>
    <w:rsid w:val="00E21EEE"/>
    <w:rsid w:val="00E42982"/>
    <w:rsid w:val="00E51C63"/>
    <w:rsid w:val="00E62000"/>
    <w:rsid w:val="00E72EE7"/>
    <w:rsid w:val="00EA02A7"/>
    <w:rsid w:val="00EC145C"/>
    <w:rsid w:val="00ED580D"/>
    <w:rsid w:val="00ED5C0E"/>
    <w:rsid w:val="00ED5E9D"/>
    <w:rsid w:val="00F1464A"/>
    <w:rsid w:val="00F30B58"/>
    <w:rsid w:val="00F474B2"/>
    <w:rsid w:val="00F61EC1"/>
    <w:rsid w:val="00F71E07"/>
    <w:rsid w:val="00F82284"/>
    <w:rsid w:val="00F85C4D"/>
    <w:rsid w:val="00F92C63"/>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4A81F-22B8-47F1-960E-66B886A55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4</Pages>
  <Words>417</Words>
  <Characters>2377</Characters>
  <Application>Microsoft Office Word</Application>
  <DocSecurity>0</DocSecurity>
  <Lines>19</Lines>
  <Paragraphs>5</Paragraphs>
  <ScaleCrop>false</ScaleCrop>
  <Company/>
  <LinksUpToDate>false</LinksUpToDate>
  <CharactersWithSpaces>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p:keywords>
  <dc:description>23;25;3;;</dc:description>
  <cp:lastModifiedBy>user</cp:lastModifiedBy>
  <cp:revision>2</cp:revision>
  <cp:lastPrinted>2004-10-07T02:24:00Z</cp:lastPrinted>
  <dcterms:created xsi:type="dcterms:W3CDTF">2023-10-11T09:08:00Z</dcterms:created>
  <dcterms:modified xsi:type="dcterms:W3CDTF">2023-10-11T09:08:00Z</dcterms:modified>
</cp:coreProperties>
</file>