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3E0E" w:rsidRDefault="004B3E0E" w:rsidP="004B3E0E">
      <w:pPr>
        <w:pStyle w:val="affe"/>
        <w:ind w:left="323"/>
      </w:pPr>
      <w:r>
        <w:rPr>
          <w:rFonts w:hint="eastAsia"/>
        </w:rPr>
        <w:t>乙、本院委員質詢部分</w:t>
      </w:r>
    </w:p>
    <w:p w:rsidR="004B3E0E" w:rsidRPr="007306FE" w:rsidRDefault="004B3E0E" w:rsidP="004B3E0E">
      <w:pPr>
        <w:pStyle w:val="afb"/>
        <w:spacing w:beforeLines="100" w:before="335" w:line="420" w:lineRule="exact"/>
        <w:ind w:leftChars="0" w:left="855" w:hanging="855"/>
      </w:pPr>
      <w:r>
        <w:rPr>
          <w:rFonts w:hint="eastAsia"/>
        </w:rPr>
        <w:t>（一）</w:t>
      </w:r>
      <w:r w:rsidRPr="007306FE">
        <w:rPr>
          <w:rFonts w:hint="eastAsia"/>
        </w:rPr>
        <w:t>本院羅委員智強，有鑑於因人口少子女化、公部門薪資待遇及環境未符</w:t>
      </w:r>
      <w:r w:rsidRPr="007306FE">
        <w:rPr>
          <w:rFonts w:hint="eastAsia"/>
          <w:spacing w:val="0"/>
        </w:rPr>
        <w:t>青年世代之求職者預期，公務人員報考率逐年衰</w:t>
      </w:r>
      <w:r w:rsidRPr="007306FE">
        <w:rPr>
          <w:rFonts w:hint="eastAsia"/>
        </w:rPr>
        <w:t>退，十年減幅高達</w:t>
      </w:r>
      <w:r w:rsidRPr="007306FE">
        <w:rPr>
          <w:rFonts w:hint="eastAsia"/>
        </w:rPr>
        <w:t>56.12%</w:t>
      </w:r>
      <w:r w:rsidRPr="007306FE">
        <w:rPr>
          <w:rFonts w:hint="eastAsia"/>
        </w:rPr>
        <w:t>，為有效提升國家遴選培育政府治理人才，應總體檢視現行公務</w:t>
      </w:r>
      <w:r w:rsidRPr="007306FE">
        <w:rPr>
          <w:rFonts w:hint="eastAsia"/>
          <w:spacing w:val="0"/>
        </w:rPr>
        <w:t>人員待遇，特向行政院提出質詢</w:t>
      </w:r>
      <w:r w:rsidRPr="007306FE">
        <w:rPr>
          <w:rFonts w:hint="eastAsia"/>
        </w:rPr>
        <w:t>。</w:t>
      </w:r>
    </w:p>
    <w:p w:rsidR="004B3E0E" w:rsidRPr="00386858" w:rsidRDefault="004B3E0E" w:rsidP="004B3E0E">
      <w:pPr>
        <w:pStyle w:val="a4"/>
        <w:spacing w:line="240" w:lineRule="auto"/>
        <w:ind w:left="633" w:hanging="633"/>
      </w:pPr>
    </w:p>
    <w:p w:rsidR="004B3E0E" w:rsidRDefault="004B3E0E" w:rsidP="00A2141B">
      <w:pPr>
        <w:pStyle w:val="a4"/>
        <w:spacing w:line="390" w:lineRule="exact"/>
        <w:ind w:left="633" w:hanging="633"/>
      </w:pPr>
      <w:r>
        <w:rPr>
          <w:rFonts w:hint="eastAsia"/>
        </w:rPr>
        <w:t>說明：</w:t>
      </w:r>
    </w:p>
    <w:p w:rsidR="004B3E0E" w:rsidRDefault="004B3E0E" w:rsidP="00A2141B">
      <w:pPr>
        <w:pStyle w:val="afffff"/>
        <w:spacing w:line="390" w:lineRule="exact"/>
        <w:ind w:leftChars="100" w:left="211" w:firstLineChars="200" w:firstLine="422"/>
      </w:pPr>
      <w:r w:rsidRPr="00386858">
        <w:rPr>
          <w:rFonts w:hint="eastAsia"/>
        </w:rPr>
        <w:t>【延長育嬰留停薪津時間】</w:t>
      </w:r>
    </w:p>
    <w:p w:rsidR="004B3E0E" w:rsidRDefault="004B3E0E" w:rsidP="00A2141B">
      <w:pPr>
        <w:pStyle w:val="afffff"/>
        <w:spacing w:line="390" w:lineRule="exact"/>
        <w:ind w:leftChars="100" w:left="211" w:firstLineChars="200" w:firstLine="422"/>
      </w:pPr>
      <w:r w:rsidRPr="00386858">
        <w:rPr>
          <w:rFonts w:hint="eastAsia"/>
        </w:rPr>
        <w:t>為有效提升報考人數，改善薪資待遇是辦法之一，然政府整體急遽拉高整體薪資待遇，可能導致國家財政緊張，另項辦法則為創造優質的工作環境。有鑑於考試院在「重要業務執行情形」中有提到「營造友善育兒環境」，為了配合政府推動「建構而新懷孕，友善生養環境」，請具體說明，目前考試院規劃的方向為何？</w:t>
      </w:r>
    </w:p>
    <w:p w:rsidR="004B3E0E" w:rsidRDefault="004B3E0E" w:rsidP="00A2141B">
      <w:pPr>
        <w:pStyle w:val="afffff"/>
        <w:spacing w:line="390" w:lineRule="exact"/>
        <w:ind w:leftChars="100" w:left="211" w:firstLineChars="200" w:firstLine="422"/>
      </w:pPr>
      <w:r w:rsidRPr="00386858">
        <w:rPr>
          <w:rFonts w:hint="eastAsia"/>
        </w:rPr>
        <w:t>對於大部分年輕人而言，要敢生敢養最重要的事情，在於穩定的經濟環境，依「全國教育產業總工會」的陳情，希望能夠將育嬰留停薪津的時間，從</w:t>
      </w:r>
      <w:r w:rsidRPr="00386858">
        <w:rPr>
          <w:rFonts w:hint="eastAsia"/>
        </w:rPr>
        <w:t>6</w:t>
      </w:r>
      <w:r w:rsidRPr="00386858">
        <w:rPr>
          <w:rFonts w:hint="eastAsia"/>
        </w:rPr>
        <w:t>個月延長到</w:t>
      </w:r>
      <w:r w:rsidRPr="00386858">
        <w:rPr>
          <w:rFonts w:hint="eastAsia"/>
        </w:rPr>
        <w:t>12</w:t>
      </w:r>
      <w:r w:rsidRPr="00386858">
        <w:rPr>
          <w:rFonts w:hint="eastAsia"/>
        </w:rPr>
        <w:t>個月，請</w:t>
      </w:r>
      <w:r>
        <w:rPr>
          <w:rFonts w:hint="eastAsia"/>
        </w:rPr>
        <w:t>問</w:t>
      </w:r>
      <w:r w:rsidRPr="00386858">
        <w:rPr>
          <w:rFonts w:hint="eastAsia"/>
        </w:rPr>
        <w:t>貴院總體想法為何？</w:t>
      </w:r>
    </w:p>
    <w:p w:rsidR="004B3E0E" w:rsidRDefault="004B3E0E" w:rsidP="00A2141B">
      <w:pPr>
        <w:pStyle w:val="afffff"/>
        <w:spacing w:line="390" w:lineRule="exact"/>
        <w:ind w:leftChars="100" w:left="211" w:firstLineChars="200" w:firstLine="422"/>
      </w:pPr>
      <w:r w:rsidRPr="00386858">
        <w:rPr>
          <w:rFonts w:hint="eastAsia"/>
        </w:rPr>
        <w:t>參照銓敘部初步回應該工會函文，通篇認同立意良好，但沒有明說可行與否，只提及會審慎研議，請問考試院目前「審慎研議」之進度為何？請在兩週內具體回覆辦公室。</w:t>
      </w:r>
    </w:p>
    <w:p w:rsidR="004B3E0E" w:rsidRDefault="004B3E0E" w:rsidP="00A2141B">
      <w:pPr>
        <w:pStyle w:val="afffff"/>
        <w:spacing w:line="390" w:lineRule="exact"/>
        <w:ind w:leftChars="100" w:left="211" w:firstLineChars="200" w:firstLine="422"/>
      </w:pPr>
      <w:r w:rsidRPr="00386858">
        <w:rPr>
          <w:rFonts w:hint="eastAsia"/>
        </w:rPr>
        <w:t>我國整體勞動環境，在民間企業整體誘因已遠超公務員了，甚有自行延長勞工之育嬰留停津貼，鼓勵年輕人生育與招募入職，未來如果公家單位如不跟進，若想年輕人報考公職只會更加困難。</w:t>
      </w:r>
    </w:p>
    <w:p w:rsidR="004B3E0E" w:rsidRDefault="004B3E0E" w:rsidP="00A2141B">
      <w:pPr>
        <w:pStyle w:val="afffff"/>
        <w:spacing w:line="390" w:lineRule="exact"/>
        <w:ind w:leftChars="100" w:left="211" w:firstLineChars="200" w:firstLine="422"/>
      </w:pPr>
      <w:r w:rsidRPr="00386858">
        <w:rPr>
          <w:rFonts w:hint="eastAsia"/>
        </w:rPr>
        <w:t>【退休待遇重新盤整】</w:t>
      </w:r>
    </w:p>
    <w:p w:rsidR="004B3E0E" w:rsidRDefault="004B3E0E" w:rsidP="00A2141B">
      <w:pPr>
        <w:pStyle w:val="afffff"/>
        <w:spacing w:line="390" w:lineRule="exact"/>
        <w:ind w:leftChars="100" w:left="211" w:firstLineChars="200" w:firstLine="422"/>
      </w:pPr>
      <w:r w:rsidRPr="00386858">
        <w:rPr>
          <w:rFonts w:hint="eastAsia"/>
        </w:rPr>
        <w:t>在貴院之業務報告中，可見銓敘部所屬一項業務為「研修生活困難退休公教人員」的部分。我們都知道，今（</w:t>
      </w:r>
      <w:r w:rsidRPr="00386858">
        <w:rPr>
          <w:rFonts w:hint="eastAsia"/>
        </w:rPr>
        <w:t>113</w:t>
      </w:r>
      <w:r w:rsidRPr="00386858">
        <w:rPr>
          <w:rFonts w:hint="eastAsia"/>
        </w:rPr>
        <w:t>）年政府，因為通膨嚴重再度調薪，其中包含「軍公教人員定期退撫與給付金額」，然仍感到尚</w:t>
      </w:r>
      <w:r w:rsidRPr="007306FE">
        <w:rPr>
          <w:rFonts w:hint="eastAsia"/>
          <w:spacing w:val="-4"/>
        </w:rPr>
        <w:t>有不足之處，本席認為銓敘部並沒有真實的反應退休公教人員的生活壓力</w:t>
      </w:r>
      <w:r w:rsidRPr="00386858">
        <w:rPr>
          <w:rFonts w:hint="eastAsia"/>
        </w:rPr>
        <w:t>。</w:t>
      </w:r>
    </w:p>
    <w:p w:rsidR="004B3E0E" w:rsidRDefault="004B3E0E" w:rsidP="00A2141B">
      <w:pPr>
        <w:pStyle w:val="afffff"/>
        <w:spacing w:line="390" w:lineRule="exact"/>
        <w:ind w:leftChars="100" w:left="211" w:firstLineChars="200" w:firstLine="422"/>
      </w:pPr>
      <w:r w:rsidRPr="00386858">
        <w:rPr>
          <w:rFonts w:hint="eastAsia"/>
        </w:rPr>
        <w:t>從主計處的消費者物價指數來看，近年薪資與退撫金調整幅度並沒有實際反應物價，事實上退休族群除了所得下降外，實際花費並沒有減少。依日本學者藤田孝典的《下流老人：即使月薪</w:t>
      </w:r>
      <w:r w:rsidRPr="00386858">
        <w:rPr>
          <w:rFonts w:hint="eastAsia"/>
        </w:rPr>
        <w:t>5</w:t>
      </w:r>
      <w:r w:rsidRPr="00386858">
        <w:rPr>
          <w:rFonts w:hint="eastAsia"/>
        </w:rPr>
        <w:t>萬，我們仍將又老又窮又孤獨》所言，退休長輩可能因為年紀緣故，較青壯年時期產生疾病，需要高額醫藥費、進駐安養中心費用，在少子女化的人口趨勢下，甚至有別於過去傳統說「養兒防老」的觀念，長輩擔憂年輕人連養活自己都很艱困，不敢開口向兒女求援，老後很難由子女奉養，成為下流老人。</w:t>
      </w:r>
    </w:p>
    <w:p w:rsidR="004B3E0E" w:rsidRDefault="004B3E0E" w:rsidP="00A2141B">
      <w:pPr>
        <w:pStyle w:val="afffff"/>
        <w:spacing w:line="390" w:lineRule="exact"/>
        <w:ind w:leftChars="100" w:left="211" w:firstLineChars="200" w:firstLine="422"/>
      </w:pPr>
      <w:r w:rsidRPr="00386858">
        <w:rPr>
          <w:rFonts w:hint="eastAsia"/>
        </w:rPr>
        <w:t>很多退休的長輩，當前期待的是政府能夠調整「公務人員退休資遣撫卹法」，讓政府能夠依照實際消費者物價指數進行修正，而不是以恩賜的方式，不定時不定期的去做檢討，讓他們真的老有所終。請貴院答覆最近一次之調整計算公式與決策說明。</w:t>
      </w:r>
    </w:p>
    <w:p w:rsidR="004B3E0E" w:rsidRDefault="004B3E0E" w:rsidP="00A2141B">
      <w:pPr>
        <w:pStyle w:val="afffff"/>
        <w:spacing w:line="370" w:lineRule="exact"/>
        <w:ind w:leftChars="100" w:left="211" w:firstLineChars="200" w:firstLine="422"/>
      </w:pPr>
      <w:r w:rsidRPr="00386858">
        <w:rPr>
          <w:rFonts w:hint="eastAsia"/>
        </w:rPr>
        <w:lastRenderedPageBreak/>
        <w:t>【薪資調漲檢討法制化】</w:t>
      </w:r>
    </w:p>
    <w:p w:rsidR="004B3E0E" w:rsidRDefault="004B3E0E" w:rsidP="00A2141B">
      <w:pPr>
        <w:pStyle w:val="afffff"/>
        <w:spacing w:line="370" w:lineRule="exact"/>
        <w:ind w:leftChars="100" w:left="211" w:firstLineChars="200" w:firstLine="422"/>
      </w:pPr>
      <w:r w:rsidRPr="00386858">
        <w:rPr>
          <w:rFonts w:hint="eastAsia"/>
        </w:rPr>
        <w:t>司法及法制委員會已透過臨時提案，要求人事行政總處針對軍公教調薪機制法制化，兩個月內送交本委員會。在《公務員人員退休資遣撫卹法》的部分，本席也希望能夠辦理修正，</w:t>
      </w:r>
      <w:r>
        <w:rPr>
          <w:rFonts w:hint="eastAsia"/>
        </w:rPr>
        <w:t>以</w:t>
      </w:r>
      <w:r w:rsidRPr="00386858">
        <w:rPr>
          <w:rFonts w:hint="eastAsia"/>
        </w:rPr>
        <w:t>完整透明的調整計算機制，就像報告中貴院提及，要照顧退休公教人員的承諾，相關計算機制應該比照勞保、國民年金，全國的老年給付應該是一致隨消費者物價指數累計成長率如實調整，不應差別待遇、一國數制，不只能夠照顧到退休公教人員，也才能向年輕人展示，公務人員的鐵飯碗，雖然在薪資待遇上相較民間企業未有顯著差異，但以長期而言，會獲得國家穩定照顧，應當重新進行法制化檢討。</w:t>
      </w:r>
    </w:p>
    <w:p w:rsidR="00A2141B" w:rsidRPr="00A2141B" w:rsidRDefault="00A2141B" w:rsidP="00A2141B"/>
    <w:p w:rsidR="004B3E0E" w:rsidRPr="007306FE" w:rsidRDefault="004B3E0E" w:rsidP="004B3E0E">
      <w:pPr>
        <w:pStyle w:val="afb"/>
        <w:spacing w:beforeLines="100" w:before="335" w:line="420" w:lineRule="exact"/>
        <w:ind w:leftChars="0" w:left="855" w:hanging="855"/>
      </w:pPr>
      <w:r>
        <w:rPr>
          <w:rFonts w:hint="eastAsia"/>
        </w:rPr>
        <w:t>（二）</w:t>
      </w:r>
      <w:r w:rsidRPr="007306FE">
        <w:rPr>
          <w:rFonts w:hint="eastAsia"/>
        </w:rPr>
        <w:t>本院鍾委員佳濱，鑑於近年多種建材和設備使用歐美及日韓高級品牌供各建案使用販售，然</w:t>
      </w:r>
      <w:r w:rsidRPr="007306FE">
        <w:rPr>
          <w:rFonts w:hint="eastAsia"/>
          <w:spacing w:val="0"/>
        </w:rPr>
        <w:t>實際生產製造地為中國、南</w:t>
      </w:r>
      <w:r w:rsidRPr="007306FE">
        <w:rPr>
          <w:rFonts w:hint="eastAsia"/>
        </w:rPr>
        <w:t>亞和東南亞，為推廣房地產市場透明化、保障民眾知的權利及避免民眾受劣</w:t>
      </w:r>
      <w:r w:rsidRPr="007306FE">
        <w:rPr>
          <w:rFonts w:hint="eastAsia"/>
          <w:spacing w:val="0"/>
        </w:rPr>
        <w:t>質建材和設備損害權益，特向行政院提出質詢</w:t>
      </w:r>
      <w:r w:rsidRPr="007306FE">
        <w:rPr>
          <w:rFonts w:hint="eastAsia"/>
        </w:rPr>
        <w:t>。</w:t>
      </w:r>
    </w:p>
    <w:p w:rsidR="004B3E0E" w:rsidRPr="000F4131" w:rsidRDefault="004B3E0E" w:rsidP="004B3E0E">
      <w:pPr>
        <w:pStyle w:val="a4"/>
        <w:spacing w:line="240" w:lineRule="auto"/>
        <w:ind w:left="633" w:hanging="633"/>
      </w:pPr>
    </w:p>
    <w:p w:rsidR="004B3E0E" w:rsidRDefault="004B3E0E" w:rsidP="00A2141B">
      <w:pPr>
        <w:pStyle w:val="a4"/>
        <w:spacing w:line="370" w:lineRule="exact"/>
        <w:ind w:left="633" w:hanging="633"/>
      </w:pPr>
      <w:r>
        <w:rPr>
          <w:rFonts w:hint="eastAsia"/>
        </w:rPr>
        <w:t>說明：</w:t>
      </w:r>
    </w:p>
    <w:p w:rsidR="004B3E0E" w:rsidRDefault="004B3E0E" w:rsidP="00A2141B">
      <w:pPr>
        <w:pStyle w:val="afffff0"/>
        <w:spacing w:line="370" w:lineRule="exact"/>
        <w:ind w:left="633" w:hanging="422"/>
      </w:pPr>
      <w:r>
        <w:rPr>
          <w:rFonts w:hint="eastAsia"/>
        </w:rPr>
        <w:t>一、常有建材及設備進口商以歐美日韓高級品牌貼牌做包裝，實際為中國、南亞和東南亞貼牌之次級品或劣質品。造成民眾以為花高價購買房屋使用歐美日韓高級建材及設備，實為低價次級品或劣質品，造成日後維護、維修及保養花費鉅款。此種趨近於詐騙行為，政府有責保障民眾權益。</w:t>
      </w:r>
    </w:p>
    <w:p w:rsidR="004B3E0E" w:rsidRDefault="004B3E0E" w:rsidP="00A2141B">
      <w:pPr>
        <w:pStyle w:val="afffff0"/>
        <w:spacing w:line="370" w:lineRule="exact"/>
        <w:ind w:left="633" w:hanging="422"/>
      </w:pPr>
      <w:r>
        <w:rPr>
          <w:rFonts w:hint="eastAsia"/>
        </w:rPr>
        <w:t>二、建請內政部於「預售屋買賣定型化契約應記載及不得記載事項」第一款應記載事項中，第十一項「建材設備及其廠牌、規格」中增加建材設備強制產地揭露於合約及廣告，並於交屋時交付產地證明與買方。</w:t>
      </w:r>
    </w:p>
    <w:p w:rsidR="004B3E0E" w:rsidRDefault="004B3E0E" w:rsidP="00A2141B">
      <w:pPr>
        <w:pStyle w:val="afffff0"/>
        <w:spacing w:line="370" w:lineRule="exact"/>
        <w:ind w:left="633" w:hanging="422"/>
      </w:pPr>
      <w:r>
        <w:rPr>
          <w:rFonts w:hint="eastAsia"/>
        </w:rPr>
        <w:t>三、建請內政部規範建商所售新成屋，需將建材和設備強制產地揭露於合約及廣告，並須附產地證明於買賣合約附件。</w:t>
      </w:r>
    </w:p>
    <w:p w:rsidR="004B3E0E" w:rsidRDefault="004B3E0E" w:rsidP="004B3E0E">
      <w:pPr>
        <w:spacing w:line="380" w:lineRule="exact"/>
      </w:pPr>
    </w:p>
    <w:p w:rsidR="004B3E0E" w:rsidRPr="007306FE" w:rsidRDefault="004B3E0E" w:rsidP="004B3E0E">
      <w:pPr>
        <w:pStyle w:val="afb"/>
        <w:spacing w:beforeLines="100" w:before="335" w:line="420" w:lineRule="exact"/>
        <w:ind w:leftChars="0" w:left="855" w:hanging="855"/>
      </w:pPr>
      <w:r>
        <w:rPr>
          <w:rFonts w:hint="eastAsia"/>
        </w:rPr>
        <w:t>（三）</w:t>
      </w:r>
      <w:r w:rsidRPr="007306FE">
        <w:rPr>
          <w:rFonts w:hint="eastAsia"/>
        </w:rPr>
        <w:t>本院黃委員建賓，有鑑於社會住宅成為</w:t>
      </w:r>
      <w:r w:rsidRPr="007306FE">
        <w:rPr>
          <w:rFonts w:hint="eastAsia"/>
        </w:rPr>
        <w:t>O</w:t>
      </w:r>
      <w:r>
        <w:rPr>
          <w:rFonts w:hint="eastAsia"/>
        </w:rPr>
        <w:t>E</w:t>
      </w:r>
      <w:r w:rsidRPr="007306FE">
        <w:rPr>
          <w:rFonts w:hint="eastAsia"/>
        </w:rPr>
        <w:t>CD</w:t>
      </w:r>
      <w:r w:rsidRPr="007306FE">
        <w:rPr>
          <w:rFonts w:hint="eastAsia"/>
        </w:rPr>
        <w:t>（經濟合作暨發展組織）國家實踐居住正義重要政策，以保障維護基本居住人權，然我國目前社會住宅相較於總體住宅存量極低，可以申請的族群類別卻極寬，導致社會住宅供需失常。在嚴重供不應求的情況下無法真正保障青年就學族群、就業階段民眾及弱勢族群，故在國內社會住宅存量嚴重不足下產生爭議，請內政部研議參酌不同地區給予縣政府彈性調整出租門檻及保障弱勢族群之比例。爰此，特向行政院提出質詢。</w:t>
      </w:r>
    </w:p>
    <w:p w:rsidR="004B3E0E" w:rsidRDefault="004B3E0E" w:rsidP="004B3E0E">
      <w:pPr>
        <w:pStyle w:val="a4"/>
        <w:spacing w:line="380" w:lineRule="exact"/>
        <w:ind w:left="633" w:hanging="633"/>
      </w:pPr>
      <w:r>
        <w:rPr>
          <w:rFonts w:hint="eastAsia"/>
        </w:rPr>
        <w:lastRenderedPageBreak/>
        <w:t>說明：</w:t>
      </w:r>
    </w:p>
    <w:p w:rsidR="004B3E0E" w:rsidRDefault="004B3E0E" w:rsidP="004B3E0E">
      <w:pPr>
        <w:pStyle w:val="afffff0"/>
        <w:spacing w:line="380" w:lineRule="exact"/>
        <w:ind w:left="633" w:hanging="422"/>
      </w:pPr>
      <w:r>
        <w:rPr>
          <w:rFonts w:hint="eastAsia"/>
        </w:rPr>
        <w:t>一、由於臺灣遲至</w:t>
      </w:r>
      <w:r>
        <w:rPr>
          <w:rFonts w:hint="eastAsia"/>
        </w:rPr>
        <w:t>21</w:t>
      </w:r>
      <w:r>
        <w:rPr>
          <w:rFonts w:hint="eastAsia"/>
        </w:rPr>
        <w:t>世紀才開始興辦社會住宅，目前社會住宅存量極低，根據今年一月內政部國土管理署最新的住宅資訊統計彙報，</w:t>
      </w:r>
      <w:r>
        <w:rPr>
          <w:rFonts w:hint="eastAsia"/>
        </w:rPr>
        <w:t>2024</w:t>
      </w:r>
      <w:r>
        <w:rPr>
          <w:rFonts w:hint="eastAsia"/>
        </w:rPr>
        <w:t>年全國目前住宅存量為</w:t>
      </w:r>
      <w:r>
        <w:rPr>
          <w:rFonts w:hint="eastAsia"/>
        </w:rPr>
        <w:t>929</w:t>
      </w:r>
      <w:r>
        <w:rPr>
          <w:rFonts w:hint="eastAsia"/>
        </w:rPr>
        <w:t>萬戶，其中已完工或興建中的社會住宅為</w:t>
      </w:r>
      <w:r>
        <w:rPr>
          <w:rFonts w:hint="eastAsia"/>
        </w:rPr>
        <w:t>5</w:t>
      </w:r>
      <w:r>
        <w:rPr>
          <w:rFonts w:hint="eastAsia"/>
        </w:rPr>
        <w:t>萬</w:t>
      </w:r>
      <w:r>
        <w:rPr>
          <w:rFonts w:hint="eastAsia"/>
        </w:rPr>
        <w:t>9,329</w:t>
      </w:r>
      <w:r>
        <w:rPr>
          <w:rFonts w:hint="eastAsia"/>
        </w:rPr>
        <w:t>戶，僅占住宅存量</w:t>
      </w:r>
      <w:r>
        <w:rPr>
          <w:rFonts w:hint="eastAsia"/>
        </w:rPr>
        <w:t>0.66%</w:t>
      </w:r>
      <w:r>
        <w:rPr>
          <w:rFonts w:hint="eastAsia"/>
        </w:rPr>
        <w:t>，對比其他先進資本主義國家，日本社會住宅比例為</w:t>
      </w:r>
      <w:r>
        <w:rPr>
          <w:rFonts w:hint="eastAsia"/>
        </w:rPr>
        <w:t>4.9%</w:t>
      </w:r>
      <w:r>
        <w:rPr>
          <w:rFonts w:hint="eastAsia"/>
        </w:rPr>
        <w:t>，新加坡為</w:t>
      </w:r>
      <w:r>
        <w:rPr>
          <w:rFonts w:hint="eastAsia"/>
        </w:rPr>
        <w:t>8.7%</w:t>
      </w:r>
      <w:r>
        <w:rPr>
          <w:rFonts w:hint="eastAsia"/>
        </w:rPr>
        <w:t>，韓國則高達</w:t>
      </w:r>
      <w:r>
        <w:rPr>
          <w:rFonts w:hint="eastAsia"/>
        </w:rPr>
        <w:t>9.4%</w:t>
      </w:r>
      <w:r>
        <w:rPr>
          <w:rFonts w:hint="eastAsia"/>
        </w:rPr>
        <w:t>，都比我國社會住宅存量高出不少。</w:t>
      </w:r>
    </w:p>
    <w:p w:rsidR="004B3E0E" w:rsidRDefault="004B3E0E" w:rsidP="004B3E0E">
      <w:pPr>
        <w:pStyle w:val="afffff0"/>
        <w:spacing w:line="380" w:lineRule="exact"/>
        <w:ind w:left="633" w:hanging="422"/>
      </w:pPr>
      <w:r>
        <w:rPr>
          <w:rFonts w:hint="eastAsia"/>
        </w:rPr>
        <w:t>二、根據《住宅法》規定，社會住宅係指由政府興辦或獎勵民間興辦，以低於市場的租金，出租給無自有住宅、且家戶經濟未達一定所得與財產基準者。又內政部《興辦社會住宅出租辦法》更明確規定，社會住宅申請者的家庭年所得，應低於申請時當地</w:t>
      </w:r>
      <w:r>
        <w:rPr>
          <w:rFonts w:hint="eastAsia"/>
        </w:rPr>
        <w:t>50%</w:t>
      </w:r>
      <w:r>
        <w:rPr>
          <w:rFonts w:hint="eastAsia"/>
        </w:rPr>
        <w:t>分位家庭平均所得，且家庭成員每人每月平均收入不超過最低生活費</w:t>
      </w:r>
      <w:r>
        <w:rPr>
          <w:rFonts w:hint="eastAsia"/>
        </w:rPr>
        <w:t>3.5</w:t>
      </w:r>
      <w:r>
        <w:rPr>
          <w:rFonts w:hint="eastAsia"/>
        </w:rPr>
        <w:t>倍。以台北市為例，申請人每月收入僅需低於</w:t>
      </w:r>
      <w:r>
        <w:rPr>
          <w:rFonts w:hint="eastAsia"/>
        </w:rPr>
        <w:t>59,518</w:t>
      </w:r>
      <w:r>
        <w:rPr>
          <w:rFonts w:hint="eastAsia"/>
        </w:rPr>
        <w:t>元同時無自有住宅即可，依現行條例之低門檻標準，將大量稀釋真正處於青年族群就學、就業階段居住之民眾。</w:t>
      </w:r>
    </w:p>
    <w:p w:rsidR="004B3E0E" w:rsidRDefault="004B3E0E" w:rsidP="004B3E0E">
      <w:pPr>
        <w:pStyle w:val="afffff0"/>
        <w:spacing w:line="380" w:lineRule="exact"/>
        <w:ind w:left="633" w:hanging="422"/>
      </w:pPr>
      <w:r>
        <w:rPr>
          <w:rFonts w:hint="eastAsia"/>
        </w:rPr>
        <w:t>三、另根據《住宅法》第四條規定，主管機關及民間興辦之社會住宅，應以直轄市、縣（市）轄區為計算範圍，提供至少百分之四十以上比率出租予經濟或社會弱勢者，另提供一定比率予未設籍於當地且在該地區就學、就業有居住需求者。在社會住宅存量不足之現況，且一般戶現行條</w:t>
      </w:r>
      <w:r w:rsidRPr="001359B0">
        <w:rPr>
          <w:rFonts w:hint="eastAsia"/>
          <w:spacing w:val="-2"/>
        </w:rPr>
        <w:t>例低門檻標準下，其出租予經濟或社會弱勢者之比例僅百分之四十尚顯不足</w:t>
      </w:r>
      <w:r>
        <w:rPr>
          <w:rFonts w:hint="eastAsia"/>
        </w:rPr>
        <w:t>。</w:t>
      </w:r>
    </w:p>
    <w:p w:rsidR="004B3E0E" w:rsidRDefault="004B3E0E" w:rsidP="004B3E0E">
      <w:pPr>
        <w:pStyle w:val="afffff0"/>
        <w:spacing w:line="380" w:lineRule="exact"/>
        <w:ind w:left="633" w:hanging="422"/>
      </w:pPr>
      <w:r>
        <w:rPr>
          <w:rFonts w:hint="eastAsia"/>
        </w:rPr>
        <w:t>四、綜上所述，為符合社會住宅成立之意旨，應確保青年就學族群、就業階段居住民眾、弱勢族群之居住需求。爰此，建議內政部檢討現行《興辦社會住宅出租辦法》所規範研議規劃進而調整出租門檻。另對共九類弱勢族群提出統計分析報告，並針對經濟或社會弱勢者之出租比例進行滾動式調整，進一步落實居住正義並提高社會住宅的效益。</w:t>
      </w:r>
    </w:p>
    <w:p w:rsidR="004B3E0E" w:rsidRPr="007306FE" w:rsidRDefault="004B3E0E" w:rsidP="004B3E0E">
      <w:pPr>
        <w:pStyle w:val="afb"/>
        <w:spacing w:beforeLines="100" w:before="335" w:line="420" w:lineRule="exact"/>
        <w:ind w:leftChars="0" w:left="855" w:hanging="855"/>
      </w:pPr>
      <w:r>
        <w:rPr>
          <w:rFonts w:hint="eastAsia"/>
        </w:rPr>
        <w:t>（四）</w:t>
      </w:r>
      <w:r w:rsidRPr="007306FE">
        <w:rPr>
          <w:rFonts w:hint="eastAsia"/>
        </w:rPr>
        <w:t>本院陳委員菁徽，有鑑於</w:t>
      </w:r>
      <w:r w:rsidRPr="007306FE">
        <w:rPr>
          <w:rFonts w:hint="eastAsia"/>
        </w:rPr>
        <w:t>2019</w:t>
      </w:r>
      <w:r w:rsidRPr="007306FE">
        <w:rPr>
          <w:rFonts w:hint="eastAsia"/>
        </w:rPr>
        <w:t>年蔡英文總統提出「大南方大發展</w:t>
      </w:r>
      <w:r>
        <w:rPr>
          <w:rFonts w:hint="eastAsia"/>
        </w:rPr>
        <w:t>南</w:t>
      </w:r>
      <w:r w:rsidRPr="007306FE">
        <w:rPr>
          <w:rFonts w:hint="eastAsia"/>
        </w:rPr>
        <w:t>台灣發展計畫」，其中包含「用聚落帶動發展」、「用交通連結世界」等四大策略，加強對產業聚落、交通建設、新農業及觀光的投入，以推動南北均衡發展。近年來，中央政府針對高雄市挹注大量資金，惟相關配套、政策以及執行成效卻未至臻完善，顯見政府執行不力，實應通盤檢討，研擬精進作為，</w:t>
      </w:r>
      <w:r>
        <w:rPr>
          <w:rFonts w:hint="eastAsia"/>
        </w:rPr>
        <w:t>特</w:t>
      </w:r>
      <w:r w:rsidRPr="007306FE">
        <w:rPr>
          <w:rFonts w:hint="eastAsia"/>
        </w:rPr>
        <w:t>向行政院提出質詢。</w:t>
      </w:r>
    </w:p>
    <w:p w:rsidR="004B3E0E" w:rsidRPr="004425BE" w:rsidRDefault="004B3E0E" w:rsidP="004B3E0E">
      <w:pPr>
        <w:pStyle w:val="a4"/>
        <w:spacing w:line="240" w:lineRule="auto"/>
        <w:ind w:left="633" w:hanging="633"/>
      </w:pPr>
    </w:p>
    <w:p w:rsidR="004B3E0E" w:rsidRDefault="004B3E0E" w:rsidP="004B3E0E">
      <w:pPr>
        <w:pStyle w:val="a4"/>
        <w:spacing w:line="380" w:lineRule="exact"/>
        <w:ind w:left="633" w:hanging="633"/>
      </w:pPr>
      <w:r>
        <w:rPr>
          <w:rFonts w:hint="eastAsia"/>
        </w:rPr>
        <w:t>說明：</w:t>
      </w:r>
    </w:p>
    <w:p w:rsidR="004B3E0E" w:rsidRDefault="004B3E0E" w:rsidP="004B3E0E">
      <w:pPr>
        <w:pStyle w:val="afffff0"/>
        <w:spacing w:line="380" w:lineRule="exact"/>
        <w:ind w:left="633" w:hanging="422"/>
      </w:pPr>
      <w:r>
        <w:rPr>
          <w:rFonts w:hint="eastAsia"/>
        </w:rPr>
        <w:t>一、高雄工業經濟總體產值之百分之六十，是由製造業所創造貢獻，惟僅提供近百分之三十之就業機會，其中高雄經濟命脈仍仰賴於鋼鐵、石化、造船等傳統大型產業，亟需轉型改善。如何將三大傳統產業朝向高品質化、高價值化，對於高雄市未來發展至關重要。</w:t>
      </w:r>
    </w:p>
    <w:p w:rsidR="004B3E0E" w:rsidRDefault="004B3E0E" w:rsidP="004B3E0E">
      <w:pPr>
        <w:pStyle w:val="afffff0"/>
        <w:spacing w:line="380" w:lineRule="exact"/>
        <w:ind w:left="633" w:hanging="422"/>
      </w:pPr>
      <w:r>
        <w:rPr>
          <w:rFonts w:hint="eastAsia"/>
        </w:rPr>
        <w:t>二、針對目前路竹科學園區、橋科科學園區、台積電設廠區域、仁武產業園區、亞洲新灣區</w:t>
      </w:r>
      <w:r>
        <w:rPr>
          <w:rFonts w:hint="eastAsia"/>
        </w:rPr>
        <w:t xml:space="preserve">5G </w:t>
      </w:r>
      <w:r>
        <w:rPr>
          <w:rFonts w:hint="eastAsia"/>
        </w:rPr>
        <w:lastRenderedPageBreak/>
        <w:t>AIoT</w:t>
      </w:r>
      <w:r>
        <w:rPr>
          <w:rFonts w:hint="eastAsia"/>
        </w:rPr>
        <w:t>創新園區等，雖已有高科技產業之雛形，惟與中北部之科學園區相較之下，其實質產業內容、推動力道及推進速度均有所不足。以及針對台積電從</w:t>
      </w:r>
      <w:r>
        <w:rPr>
          <w:rFonts w:hint="eastAsia"/>
        </w:rPr>
        <w:t>27</w:t>
      </w:r>
      <w:r>
        <w:rPr>
          <w:rFonts w:hint="eastAsia"/>
        </w:rPr>
        <w:t>奈米轉成</w:t>
      </w:r>
      <w:r>
        <w:rPr>
          <w:rFonts w:hint="eastAsia"/>
        </w:rPr>
        <w:t>7</w:t>
      </w:r>
      <w:r>
        <w:rPr>
          <w:rFonts w:hint="eastAsia"/>
        </w:rPr>
        <w:t>奈米再轉成</w:t>
      </w:r>
      <w:r>
        <w:rPr>
          <w:rFonts w:hint="eastAsia"/>
        </w:rPr>
        <w:t>2</w:t>
      </w:r>
      <w:r>
        <w:rPr>
          <w:rFonts w:hint="eastAsia"/>
        </w:rPr>
        <w:t>奈米製程，用水量將會大大擴增，對此行政機關應儘速提出解決方案。</w:t>
      </w:r>
    </w:p>
    <w:p w:rsidR="004B3E0E" w:rsidRDefault="004B3E0E" w:rsidP="004B3E0E">
      <w:pPr>
        <w:pStyle w:val="afffff0"/>
        <w:spacing w:line="380" w:lineRule="exact"/>
        <w:ind w:left="633" w:hanging="422"/>
      </w:pPr>
      <w:r>
        <w:rPr>
          <w:rFonts w:hint="eastAsia"/>
        </w:rPr>
        <w:t>三、高雄市改制前總人口為</w:t>
      </w:r>
      <w:r>
        <w:rPr>
          <w:rFonts w:hint="eastAsia"/>
        </w:rPr>
        <w:t>277</w:t>
      </w:r>
      <w:r>
        <w:rPr>
          <w:rFonts w:hint="eastAsia"/>
        </w:rPr>
        <w:t>萬人口，如今已減少至</w:t>
      </w:r>
      <w:r>
        <w:rPr>
          <w:rFonts w:hint="eastAsia"/>
        </w:rPr>
        <w:t>273</w:t>
      </w:r>
      <w:r>
        <w:rPr>
          <w:rFonts w:hint="eastAsia"/>
        </w:rPr>
        <w:t>萬人口，相較台中已從原先</w:t>
      </w:r>
      <w:r>
        <w:rPr>
          <w:rFonts w:hint="eastAsia"/>
        </w:rPr>
        <w:t>268</w:t>
      </w:r>
      <w:r>
        <w:rPr>
          <w:rFonts w:hint="eastAsia"/>
        </w:rPr>
        <w:t>萬人口提升至</w:t>
      </w:r>
      <w:r>
        <w:rPr>
          <w:rFonts w:hint="eastAsia"/>
        </w:rPr>
        <w:t>283</w:t>
      </w:r>
      <w:r>
        <w:rPr>
          <w:rFonts w:hint="eastAsia"/>
        </w:rPr>
        <w:t>萬人口，其原因正是台中科學園區之投資力度大，以及台中市之生活機能及生產皆有完整配套。再者，高雄地區</w:t>
      </w:r>
      <w:r>
        <w:rPr>
          <w:rFonts w:hint="eastAsia"/>
        </w:rPr>
        <w:t>16</w:t>
      </w:r>
      <w:r>
        <w:rPr>
          <w:rFonts w:hint="eastAsia"/>
        </w:rPr>
        <w:t>間大學院校畢業生統計調查顯示，近百分之六十以上之畢業生離開高雄市尋求更好的發展機會，顯見高雄之就業環境及機會仍未臻完善。</w:t>
      </w:r>
    </w:p>
    <w:p w:rsidR="004B3E0E" w:rsidRDefault="004B3E0E" w:rsidP="004B3E0E">
      <w:pPr>
        <w:pStyle w:val="afffff0"/>
        <w:spacing w:line="380" w:lineRule="exact"/>
        <w:ind w:left="633" w:hanging="422"/>
      </w:pPr>
      <w:r>
        <w:rPr>
          <w:rFonts w:hint="eastAsia"/>
        </w:rPr>
        <w:t>四、根據近期空氣污染之數據分析，高雄市近六年之</w:t>
      </w:r>
      <w:r>
        <w:rPr>
          <w:rFonts w:hint="eastAsia"/>
        </w:rPr>
        <w:t>PM2</w:t>
      </w:r>
      <w:r>
        <w:rPr>
          <w:rFonts w:hint="eastAsia"/>
        </w:rPr>
        <w:t>．</w:t>
      </w:r>
      <w:r>
        <w:rPr>
          <w:rFonts w:hint="eastAsia"/>
        </w:rPr>
        <w:t>5</w:t>
      </w:r>
      <w:r>
        <w:rPr>
          <w:rFonts w:hint="eastAsia"/>
        </w:rPr>
        <w:t>、</w:t>
      </w:r>
      <w:r>
        <w:rPr>
          <w:rFonts w:hint="eastAsia"/>
        </w:rPr>
        <w:t>AQI</w:t>
      </w:r>
      <w:r>
        <w:rPr>
          <w:rFonts w:hint="eastAsia"/>
        </w:rPr>
        <w:t>空氣品質指數以及</w:t>
      </w:r>
      <w:r>
        <w:rPr>
          <w:rFonts w:hint="eastAsia"/>
        </w:rPr>
        <w:t>PSI</w:t>
      </w:r>
      <w:r>
        <w:rPr>
          <w:rFonts w:hint="eastAsia"/>
        </w:rPr>
        <w:t>空氣汙染指標，皆為全國最嚴重之都市，且我國發電方式因能源政策改變，多為液態天然氣火力發電，惟我國天然氣儲存量僅十天上下，並且再生能源仍未有顯著提升，足以補助能源短缺，綜上，南臺灣嚴重空氣汙染恐無法立即改善。爰此，是否調整現行能源政策，除解決能源政策所造成之問題，以及南臺灣空氣汙染問題。</w:t>
      </w:r>
    </w:p>
    <w:p w:rsidR="004B3E0E" w:rsidRDefault="004B3E0E" w:rsidP="004B3E0E">
      <w:pPr>
        <w:pStyle w:val="afffff0"/>
        <w:spacing w:line="380" w:lineRule="exact"/>
        <w:ind w:left="633" w:hanging="422"/>
      </w:pPr>
      <w:r>
        <w:rPr>
          <w:rFonts w:hint="eastAsia"/>
        </w:rPr>
        <w:t>五、為推動交通平權，以及提升高雄市民眾之交通便利性，高雄捷運四線工程以及連外高速公路，應儘速如質完工，分別為「高雄都會區大眾捷運系統岡山路竹延伸線暨周邊土地開發計畫」、「高雄都會區大眾捷運系統都會線（黃線）建設暨周邊土地開發計畫」、「高雄都會區大眾捷運系統小港林園線建設及周邊土地開發計畫」、「高鐵右昌學園線（紫線）可行性研究」以及「國道七號高雄港東側聯外高速公路」，針對上述五項計畫，請行政院提供上述必要協助，並提供計畫內容、進度等書面報告。</w:t>
      </w:r>
    </w:p>
    <w:p w:rsidR="004B3E0E" w:rsidRDefault="004B3E0E" w:rsidP="004B3E0E">
      <w:pPr>
        <w:pStyle w:val="afffff0"/>
        <w:spacing w:line="380" w:lineRule="exact"/>
        <w:ind w:left="633" w:hanging="422"/>
      </w:pPr>
      <w:r>
        <w:rPr>
          <w:rFonts w:hint="eastAsia"/>
        </w:rPr>
        <w:t>六、鑑於高雄市農漁業居多，面對</w:t>
      </w:r>
      <w:r>
        <w:rPr>
          <w:rFonts w:hint="eastAsia"/>
        </w:rPr>
        <w:t>ECFA</w:t>
      </w:r>
      <w:r>
        <w:rPr>
          <w:rFonts w:hint="eastAsia"/>
        </w:rPr>
        <w:t>恐中止，是否會對高雄市基層之農漁生計產生衝擊，相關行政單位是否有解決及因應方式？</w:t>
      </w:r>
    </w:p>
    <w:p w:rsidR="004B3E0E" w:rsidRPr="007306FE" w:rsidRDefault="004B3E0E" w:rsidP="004B3E0E">
      <w:pPr>
        <w:pStyle w:val="afb"/>
        <w:spacing w:beforeLines="100" w:before="335" w:line="420" w:lineRule="exact"/>
        <w:ind w:leftChars="0" w:left="855" w:hanging="855"/>
      </w:pPr>
      <w:r>
        <w:rPr>
          <w:rFonts w:hint="eastAsia"/>
        </w:rPr>
        <w:t>（五）</w:t>
      </w:r>
      <w:r w:rsidRPr="007306FE">
        <w:rPr>
          <w:rFonts w:hint="eastAsia"/>
        </w:rPr>
        <w:t>本院吳委員宗憲，針對數位身分證因資安爭議喊卡，政府須賠償廠商二億八千萬元，這筆費用由全民埋單。經查，數位身分證政策</w:t>
      </w:r>
      <w:r w:rsidRPr="007306FE">
        <w:rPr>
          <w:rFonts w:hint="eastAsia"/>
        </w:rPr>
        <w:t>2021</w:t>
      </w:r>
      <w:r w:rsidRPr="007306FE">
        <w:rPr>
          <w:rFonts w:hint="eastAsia"/>
        </w:rPr>
        <w:t>年因資安爭議喊卡，廠商向政府求償總計逾十億元，今年</w:t>
      </w:r>
      <w:r w:rsidRPr="007306FE">
        <w:rPr>
          <w:rFonts w:hint="eastAsia"/>
        </w:rPr>
        <w:t>1</w:t>
      </w:r>
      <w:r w:rsidRPr="007306FE">
        <w:rPr>
          <w:rFonts w:hint="eastAsia"/>
        </w:rPr>
        <w:t>月經六次調解，賠償金額雖砍至二億八千萬元以下，然而內政部僅用一句「無行政疏失」帶過，費用卻由全民埋單。有鑑於數位身分證攸關全民個資安全，且龐大的賠償金額由人民的納稅錢支付，應主動向大眾交代清楚，爰此要求內政部針對數位身分證政策進行檢討，</w:t>
      </w:r>
      <w:r w:rsidRPr="00A2141B">
        <w:rPr>
          <w:rFonts w:hint="eastAsia"/>
          <w:spacing w:val="0"/>
        </w:rPr>
        <w:t>並於一個月內提出書面報告，特向行政院提出質詢</w:t>
      </w:r>
      <w:r w:rsidRPr="007306FE">
        <w:rPr>
          <w:rFonts w:hint="eastAsia"/>
        </w:rPr>
        <w:t>。</w:t>
      </w:r>
    </w:p>
    <w:p w:rsidR="004B3E0E" w:rsidRPr="00E07147" w:rsidRDefault="004B3E0E" w:rsidP="004B3E0E">
      <w:pPr>
        <w:pStyle w:val="a4"/>
        <w:spacing w:line="240" w:lineRule="auto"/>
        <w:ind w:left="633" w:hanging="633"/>
      </w:pPr>
    </w:p>
    <w:p w:rsidR="004B3E0E" w:rsidRDefault="004B3E0E" w:rsidP="004B3E0E">
      <w:pPr>
        <w:pStyle w:val="a4"/>
        <w:spacing w:line="380" w:lineRule="exact"/>
        <w:ind w:left="633" w:hanging="633"/>
      </w:pPr>
      <w:r>
        <w:rPr>
          <w:rFonts w:hint="eastAsia"/>
        </w:rPr>
        <w:t>說明：</w:t>
      </w:r>
    </w:p>
    <w:p w:rsidR="004B3E0E" w:rsidRDefault="004B3E0E" w:rsidP="004B3E0E">
      <w:pPr>
        <w:pStyle w:val="afffff0"/>
        <w:spacing w:line="380" w:lineRule="exact"/>
        <w:ind w:left="633" w:hanging="422"/>
      </w:pPr>
      <w:r>
        <w:rPr>
          <w:rFonts w:hint="eastAsia"/>
        </w:rPr>
        <w:t>一、經查數位身分證政策原本在</w:t>
      </w:r>
      <w:r>
        <w:rPr>
          <w:rFonts w:hint="eastAsia"/>
        </w:rPr>
        <w:t>2020</w:t>
      </w:r>
      <w:r>
        <w:rPr>
          <w:rFonts w:hint="eastAsia"/>
        </w:rPr>
        <w:t>年</w:t>
      </w:r>
      <w:r>
        <w:rPr>
          <w:rFonts w:hint="eastAsia"/>
        </w:rPr>
        <w:t>7</w:t>
      </w:r>
      <w:r>
        <w:rPr>
          <w:rFonts w:hint="eastAsia"/>
        </w:rPr>
        <w:t>月就要上路，最後因民間對個資保護提出疑慮，導致計畫喊卡，廠商因此向政府求償加上已採購機器和場地費及維持運轉費，總金額超過十億元，儘管經過協調，賠償費用已下降，但卻是由人民納稅錢來支付，造成全民損失。</w:t>
      </w:r>
    </w:p>
    <w:p w:rsidR="004B3E0E" w:rsidRDefault="004B3E0E" w:rsidP="004B3E0E">
      <w:pPr>
        <w:pStyle w:val="afffff0"/>
        <w:spacing w:line="380" w:lineRule="exact"/>
        <w:ind w:left="633" w:hanging="422"/>
      </w:pPr>
      <w:r>
        <w:rPr>
          <w:rFonts w:hint="eastAsia"/>
        </w:rPr>
        <w:lastRenderedPageBreak/>
        <w:t>二、另查數位身分證政策從</w:t>
      </w:r>
      <w:r>
        <w:rPr>
          <w:rFonts w:hint="eastAsia"/>
        </w:rPr>
        <w:t>2016</w:t>
      </w:r>
      <w:r>
        <w:rPr>
          <w:rFonts w:hint="eastAsia"/>
        </w:rPr>
        <w:t>年開始研議，事實上，早在一開始學界、資安界及人權團體就提出個資外洩疑慮，且不斷預警資安缺乏配套措施，呼籲應暫緩，時任行政院長的賴清德卻無視民意，執意讓政策上路，最終仍然喊卡，不僅沒有得到實質成果，還要倒賠金錢給廠商。</w:t>
      </w:r>
    </w:p>
    <w:p w:rsidR="004B3E0E" w:rsidRDefault="004B3E0E" w:rsidP="004B3E0E">
      <w:pPr>
        <w:pStyle w:val="afffff0"/>
        <w:spacing w:line="380" w:lineRule="exact"/>
        <w:ind w:left="633" w:hanging="422"/>
      </w:pPr>
      <w:r>
        <w:rPr>
          <w:rFonts w:hint="eastAsia"/>
        </w:rPr>
        <w:t>三、資安事件頻傳，人民個資不斷外洩，數位身分證上路前缺乏專法，社會沒有充分溝通，政府也沒有妥善回應民間對於法規缺失、侵害隱私權的疑慮，導致民眾對政策不信任。爰此要求內政部相關單位，儘速完成檢討報告並送至立法院，給民眾一個完整的交代。</w:t>
      </w:r>
    </w:p>
    <w:p w:rsidR="004B3E0E" w:rsidRDefault="004B3E0E" w:rsidP="004B3E0E">
      <w:pPr>
        <w:spacing w:line="380" w:lineRule="exact"/>
      </w:pPr>
    </w:p>
    <w:p w:rsidR="004B3E0E" w:rsidRPr="007306FE" w:rsidRDefault="004B3E0E" w:rsidP="004B3E0E">
      <w:pPr>
        <w:pStyle w:val="afb"/>
        <w:spacing w:beforeLines="100" w:before="335" w:line="420" w:lineRule="exact"/>
        <w:ind w:leftChars="0" w:left="855" w:hanging="855"/>
      </w:pPr>
      <w:r>
        <w:rPr>
          <w:rFonts w:hint="eastAsia"/>
        </w:rPr>
        <w:t>（六）</w:t>
      </w:r>
      <w:r w:rsidRPr="007306FE">
        <w:rPr>
          <w:rFonts w:hint="eastAsia"/>
        </w:rPr>
        <w:t>本院吳委員宗憲，針對去年我國假投資詐騙案件數創新高，造成多數民眾血本無歸。經查，我國目前尚未有可監管處罰虛擬幣犯罪之專法。有鑑於詐騙集團常利用個人幣商收取贓款，一旦被查獲就稱自己是個人幣商，對相關交易不知情，因此常獲不起訴，爰此要求法務部與金管會儘速針對個人幣商之管理研議專法，並將其研議結果以書面報告送交立法院全體委員</w:t>
      </w:r>
      <w:r>
        <w:rPr>
          <w:rFonts w:hint="eastAsia"/>
        </w:rPr>
        <w:t>，</w:t>
      </w:r>
      <w:r w:rsidRPr="007306FE">
        <w:rPr>
          <w:rFonts w:hint="eastAsia"/>
        </w:rPr>
        <w:t>特向行政院提出質詢。</w:t>
      </w:r>
    </w:p>
    <w:p w:rsidR="004B3E0E" w:rsidRPr="008A2370" w:rsidRDefault="004B3E0E" w:rsidP="004B3E0E">
      <w:pPr>
        <w:pStyle w:val="a4"/>
        <w:spacing w:line="240" w:lineRule="auto"/>
        <w:ind w:left="633" w:hanging="633"/>
      </w:pPr>
    </w:p>
    <w:p w:rsidR="004B3E0E" w:rsidRDefault="004B3E0E" w:rsidP="004B3E0E">
      <w:pPr>
        <w:pStyle w:val="a4"/>
        <w:spacing w:line="380" w:lineRule="exact"/>
        <w:ind w:left="633" w:hanging="633"/>
      </w:pPr>
      <w:r>
        <w:rPr>
          <w:rFonts w:hint="eastAsia"/>
        </w:rPr>
        <w:t>說明：</w:t>
      </w:r>
    </w:p>
    <w:p w:rsidR="004B3E0E" w:rsidRDefault="004B3E0E" w:rsidP="004B3E0E">
      <w:pPr>
        <w:pStyle w:val="afffff0"/>
        <w:spacing w:line="380" w:lineRule="exact"/>
        <w:ind w:left="633" w:hanging="422"/>
      </w:pPr>
      <w:r>
        <w:rPr>
          <w:rFonts w:hint="eastAsia"/>
        </w:rPr>
        <w:t>一、經查我國假投資詐騙去年創新高，刑事局統計，假投資逐年上升，為財產損失最高的詐騙手法，去年共發生</w:t>
      </w:r>
      <w:r>
        <w:rPr>
          <w:rFonts w:hint="eastAsia"/>
        </w:rPr>
        <w:t>1</w:t>
      </w:r>
      <w:r>
        <w:rPr>
          <w:rFonts w:hint="eastAsia"/>
        </w:rPr>
        <w:t>萬</w:t>
      </w:r>
      <w:r>
        <w:rPr>
          <w:rFonts w:hint="eastAsia"/>
        </w:rPr>
        <w:t>1,405</w:t>
      </w:r>
      <w:r>
        <w:rPr>
          <w:rFonts w:hint="eastAsia"/>
        </w:rPr>
        <w:t>件，財損總計約新台幣</w:t>
      </w:r>
      <w:r>
        <w:rPr>
          <w:rFonts w:hint="eastAsia"/>
        </w:rPr>
        <w:t>53.4</w:t>
      </w:r>
      <w:r>
        <w:rPr>
          <w:rFonts w:hint="eastAsia"/>
        </w:rPr>
        <w:t>億元，均創歷史新高。</w:t>
      </w:r>
    </w:p>
    <w:p w:rsidR="004B3E0E" w:rsidRDefault="004B3E0E" w:rsidP="004B3E0E">
      <w:pPr>
        <w:pStyle w:val="afffff0"/>
        <w:spacing w:line="380" w:lineRule="exact"/>
        <w:ind w:left="633" w:hanging="422"/>
      </w:pPr>
      <w:r>
        <w:rPr>
          <w:rFonts w:hint="eastAsia"/>
        </w:rPr>
        <w:t>二、另查越來越多詐騙集團為預先製作不實的加密貨幣交易紀錄單據，還提供萬一被抓時該如何應訊的「教戰手則」，甚至與律師合作，指導共犯向檢警堅稱涉案金流皆為加密貨幣交易，自己只是個人幣商，仲介虛擬幣買賣，款項是交易所得，並提供交易紀錄截圖，如此一來很容易脫罪成功。</w:t>
      </w:r>
    </w:p>
    <w:p w:rsidR="004B3E0E" w:rsidRDefault="004B3E0E" w:rsidP="004B3E0E">
      <w:pPr>
        <w:pStyle w:val="afffff0"/>
        <w:spacing w:line="380" w:lineRule="exact"/>
        <w:ind w:left="633" w:hanging="422"/>
      </w:pPr>
      <w:r>
        <w:rPr>
          <w:rFonts w:hint="eastAsia"/>
        </w:rPr>
        <w:t>三、檢方指出，類似詐騙案件層出不窮，大多數幣商最後都獲得不起訴，因此造成受害者數量愈來愈多，詐騙金額也愈來愈龐大。爰此要求各部會相關單位，儘速研議專法，保障民眾財產安全。</w:t>
      </w:r>
    </w:p>
    <w:p w:rsidR="00385E13" w:rsidRPr="00385E13" w:rsidRDefault="00385E13" w:rsidP="00385E13"/>
    <w:p w:rsidR="004B3E0E" w:rsidRPr="007306FE" w:rsidRDefault="004B3E0E" w:rsidP="004B3E0E">
      <w:pPr>
        <w:pStyle w:val="afb"/>
        <w:spacing w:beforeLines="100" w:before="335" w:line="420" w:lineRule="exact"/>
        <w:ind w:leftChars="0" w:left="855" w:hanging="855"/>
      </w:pPr>
      <w:r>
        <w:rPr>
          <w:rFonts w:hint="eastAsia"/>
        </w:rPr>
        <w:t>（七）</w:t>
      </w:r>
      <w:r w:rsidRPr="007306FE">
        <w:rPr>
          <w:rFonts w:hint="eastAsia"/>
        </w:rPr>
        <w:t>本院吳委員宗憲，鑑於衛福部於</w:t>
      </w:r>
      <w:r>
        <w:rPr>
          <w:rFonts w:hint="eastAsia"/>
        </w:rPr>
        <w:t>本（</w:t>
      </w:r>
      <w:r>
        <w:rPr>
          <w:rFonts w:hint="eastAsia"/>
        </w:rPr>
        <w:t>3</w:t>
      </w:r>
      <w:r>
        <w:rPr>
          <w:rFonts w:hint="eastAsia"/>
        </w:rPr>
        <w:t>）月</w:t>
      </w:r>
      <w:r>
        <w:rPr>
          <w:rFonts w:hint="eastAsia"/>
        </w:rPr>
        <w:t>4</w:t>
      </w:r>
      <w:r>
        <w:rPr>
          <w:rFonts w:hint="eastAsia"/>
        </w:rPr>
        <w:t>日</w:t>
      </w:r>
      <w:r w:rsidRPr="007306FE">
        <w:rPr>
          <w:rFonts w:hint="eastAsia"/>
        </w:rPr>
        <w:t>廢止掛號費用調整備查制度，取消健保掛號費上限，此舉引發民間反彈；若就此將掛號費收費全權交由各醫療院所自行決定，美其名曰回歸市場機制，然而將產生的後續效應無可估量，醫療單位想漲就漲，又並無新設或加強現行防堵聯合漲價行為之機制，可能將貶抑民眾就</w:t>
      </w:r>
      <w:r w:rsidRPr="007306FE">
        <w:rPr>
          <w:rFonts w:hint="eastAsia"/>
        </w:rPr>
        <w:lastRenderedPageBreak/>
        <w:t>醫意願以及增加其於醫療上之付出。爰此，建請全民健保主管機關衛生福利部，研議</w:t>
      </w:r>
      <w:r w:rsidRPr="00A2141B">
        <w:rPr>
          <w:rFonts w:hint="eastAsia"/>
          <w:spacing w:val="0"/>
        </w:rPr>
        <w:t>暫緩廢止掛號費上限，特向行政院提出質詢</w:t>
      </w:r>
      <w:r w:rsidRPr="007306FE">
        <w:rPr>
          <w:rFonts w:hint="eastAsia"/>
        </w:rPr>
        <w:t>。</w:t>
      </w:r>
    </w:p>
    <w:p w:rsidR="004B3E0E" w:rsidRPr="002276B3" w:rsidRDefault="004B3E0E" w:rsidP="004B3E0E">
      <w:pPr>
        <w:pStyle w:val="a4"/>
        <w:spacing w:line="240" w:lineRule="auto"/>
        <w:ind w:left="633" w:hanging="633"/>
      </w:pPr>
    </w:p>
    <w:p w:rsidR="004B3E0E" w:rsidRDefault="004B3E0E" w:rsidP="004B3E0E">
      <w:pPr>
        <w:pStyle w:val="a4"/>
        <w:spacing w:line="380" w:lineRule="exact"/>
        <w:ind w:left="633" w:hanging="633"/>
      </w:pPr>
      <w:r>
        <w:rPr>
          <w:rFonts w:hint="eastAsia"/>
        </w:rPr>
        <w:t>說明：</w:t>
      </w:r>
    </w:p>
    <w:p w:rsidR="004B3E0E" w:rsidRDefault="004B3E0E" w:rsidP="004B3E0E">
      <w:pPr>
        <w:pStyle w:val="afffff0"/>
        <w:spacing w:line="380" w:lineRule="exact"/>
        <w:ind w:left="633" w:hanging="422"/>
      </w:pPr>
      <w:r>
        <w:rPr>
          <w:rFonts w:hint="eastAsia"/>
        </w:rPr>
        <w:t>一、依《全民健康保險法》第</w:t>
      </w:r>
      <w:r>
        <w:rPr>
          <w:rFonts w:hint="eastAsia"/>
        </w:rPr>
        <w:t>4</w:t>
      </w:r>
      <w:r>
        <w:rPr>
          <w:rFonts w:hint="eastAsia"/>
        </w:rPr>
        <w:t>條：「本保險之主管機關為衛生福利部。」；依同法第</w:t>
      </w:r>
      <w:r>
        <w:rPr>
          <w:rFonts w:hint="eastAsia"/>
        </w:rPr>
        <w:t>5</w:t>
      </w:r>
      <w:r>
        <w:rPr>
          <w:rFonts w:hint="eastAsia"/>
        </w:rPr>
        <w:t>條第一項第四款，有關保險政策、法規之研究與諮詢由衛福部下轄之健保會辦理。本次既涉及健保掛號費之規範，故建請衛福部予研議。</w:t>
      </w:r>
    </w:p>
    <w:p w:rsidR="004B3E0E" w:rsidRDefault="004B3E0E" w:rsidP="004B3E0E">
      <w:pPr>
        <w:pStyle w:val="afffff0"/>
        <w:spacing w:line="380" w:lineRule="exact"/>
        <w:ind w:left="633" w:hanging="422"/>
      </w:pPr>
      <w:r>
        <w:rPr>
          <w:rFonts w:hint="eastAsia"/>
        </w:rPr>
        <w:t>二、承上，衛福部日前亦指出掛號費從七十幾年便定位為行政費用，沒有法律依據加以限制，向來由衛福部（從前之衛生署）決定並公告實行之；本席認為非無疑義，故應比照上點一併交由部會商討、採量各方意見後決議是否亦納入《健保法》等相關法規加以規範。</w:t>
      </w:r>
    </w:p>
    <w:p w:rsidR="004B3E0E" w:rsidRDefault="004B3E0E" w:rsidP="004B3E0E">
      <w:pPr>
        <w:pStyle w:val="afffff0"/>
        <w:spacing w:line="380" w:lineRule="exact"/>
        <w:ind w:left="633" w:hanging="422"/>
      </w:pPr>
      <w:r>
        <w:rPr>
          <w:rFonts w:hint="eastAsia"/>
        </w:rPr>
        <w:t>三、依照《健保法》第</w:t>
      </w:r>
      <w:r>
        <w:rPr>
          <w:rFonts w:hint="eastAsia"/>
        </w:rPr>
        <w:t>51</w:t>
      </w:r>
      <w:r>
        <w:rPr>
          <w:rFonts w:hint="eastAsia"/>
        </w:rPr>
        <w:t>條第十款，病人交通、掛號、證明文件不列入健保給付範圍，故本部分負擔全數由人民自行承擔；因此，為負起中央應負之責任，充分保障民眾之生命身體法益及財產權，政府更應積極作為，若逕直拔除收費上限之規定，恐難將費用之收取持續維持於合理範圍內。</w:t>
      </w:r>
    </w:p>
    <w:p w:rsidR="004B3E0E" w:rsidRDefault="004B3E0E" w:rsidP="004B3E0E">
      <w:pPr>
        <w:pStyle w:val="afffff0"/>
        <w:spacing w:line="380" w:lineRule="exact"/>
        <w:ind w:left="633" w:hanging="422"/>
      </w:pPr>
      <w:r>
        <w:rPr>
          <w:rFonts w:hint="eastAsia"/>
        </w:rPr>
        <w:t>四、根據家扶基金會公布的「</w:t>
      </w:r>
      <w:r>
        <w:rPr>
          <w:rFonts w:hint="eastAsia"/>
        </w:rPr>
        <w:t>2018</w:t>
      </w:r>
      <w:r>
        <w:rPr>
          <w:rFonts w:hint="eastAsia"/>
        </w:rPr>
        <w:t>年弱勢家庭健康醫療調查」，受訪的</w:t>
      </w:r>
      <w:r>
        <w:rPr>
          <w:rFonts w:hint="eastAsia"/>
        </w:rPr>
        <w:t>1,264</w:t>
      </w:r>
      <w:r>
        <w:rPr>
          <w:rFonts w:hint="eastAsia"/>
        </w:rPr>
        <w:t>戶家庭中，有</w:t>
      </w:r>
      <w:r>
        <w:rPr>
          <w:rFonts w:hint="eastAsia"/>
        </w:rPr>
        <w:t>1,626</w:t>
      </w:r>
      <w:r>
        <w:rPr>
          <w:rFonts w:hint="eastAsia"/>
        </w:rPr>
        <w:t>個生病人口，其中達</w:t>
      </w:r>
      <w:r>
        <w:rPr>
          <w:rFonts w:hint="eastAsia"/>
        </w:rPr>
        <w:t>23.8%</w:t>
      </w:r>
      <w:r>
        <w:rPr>
          <w:rFonts w:hint="eastAsia"/>
        </w:rPr>
        <w:t>家庭的工作收入難以負擔醫療費用；在「醫療貧窮」並不少見的狀況下，社會上相對弱勢者因不能或者不捨得花錢看病，而將「小病拖成大病」的案例更是屢見不鮮，比如曾經有案例年長者遲遲不肯就醫，導致原先普通的外傷傷口持續感染，最終患上蜂窩性組織炎。因此，政府應正視醫療費用加諸弱勢群體的負擔甚鉅，逕行取消掛號費上限必然將使這類人群更難透過醫療行為獲得健康，實欠缺考慮。</w:t>
      </w:r>
    </w:p>
    <w:p w:rsidR="004B3E0E" w:rsidRPr="00441B24" w:rsidRDefault="004B3E0E" w:rsidP="004B3E0E">
      <w:pPr>
        <w:pStyle w:val="afffff0"/>
        <w:spacing w:line="380" w:lineRule="exact"/>
        <w:ind w:left="633" w:hanging="422"/>
      </w:pPr>
      <w:bookmarkStart w:id="0" w:name="_GoBack"/>
      <w:bookmarkEnd w:id="0"/>
    </w:p>
    <w:sectPr w:rsidR="004B3E0E" w:rsidRPr="00441B24" w:rsidSect="00AB1540">
      <w:headerReference w:type="even" r:id="rId9"/>
      <w:headerReference w:type="default" r:id="rId10"/>
      <w:footerReference w:type="even" r:id="rId11"/>
      <w:footerReference w:type="default" r:id="rId12"/>
      <w:type w:val="continuous"/>
      <w:pgSz w:w="11906" w:h="16838" w:code="9"/>
      <w:pgMar w:top="1984" w:right="1417" w:bottom="1417" w:left="1417" w:header="1417" w:footer="850" w:gutter="0"/>
      <w:pgNumType w:start="241"/>
      <w:cols w:space="720"/>
      <w:docGrid w:type="linesAndChars" w:linePitch="335"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3742" w:rsidRDefault="00783742">
      <w:r>
        <w:separator/>
      </w:r>
    </w:p>
  </w:endnote>
  <w:endnote w:type="continuationSeparator" w:id="0">
    <w:p w:rsidR="00783742" w:rsidRDefault="007837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方正新書宋">
    <w:altName w:val="標楷體"/>
    <w:charset w:val="88"/>
    <w:family w:val="script"/>
    <w:pitch w:val="fixed"/>
    <w:sig w:usb0="00000001" w:usb1="080E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540" w:rsidRDefault="00AB1540">
    <w:pPr>
      <w:pStyle w:val="afff9"/>
    </w:pPr>
    <w:r>
      <mc:AlternateContent>
        <mc:Choice Requires="wps">
          <w:drawing>
            <wp:anchor distT="0" distB="0" distL="114300" distR="114300" simplePos="0" relativeHeight="251661312"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7" name="文字方塊 7"/>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AB1540" w:rsidRPr="00AB1540" w:rsidRDefault="00AB1540" w:rsidP="00AB1540">
                          <w:pPr>
                            <w:spacing w:line="210" w:lineRule="exact"/>
                            <w:jc w:val="center"/>
                          </w:pPr>
                          <w:r>
                            <w:fldChar w:fldCharType="begin"/>
                          </w:r>
                          <w:r>
                            <w:instrText xml:space="preserve"> PAGE  \* MERGEFORMAT </w:instrText>
                          </w:r>
                          <w:r>
                            <w:fldChar w:fldCharType="separate"/>
                          </w:r>
                          <w:r w:rsidR="007E54B2">
                            <w:t>246</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7" o:spid="_x0000_s1028" type="#_x0000_t202" style="position:absolute;left:0;text-align:left;margin-left:.05pt;margin-top:-10.9pt;width:453.6pt;height:3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ISGGpAMDAABdBgAADgAAAAAAAAAAAAAAAAAuAgAAZHJzL2Uyb0RvYy54bWxQ&#10;SwECLQAUAAYACAAAACEAG7Ayo98AAAAHAQAADwAAAAAAAAAAAAAAAABdBQAAZHJzL2Rvd25yZXYu&#10;eG1sUEsFBgAAAAAEAAQA8wAAAGkGAAAAAA==&#10;" filled="f" stroked="f" strokeweight=".5pt">
              <v:textbox>
                <w:txbxContent>
                  <w:p w:rsidR="00AB1540" w:rsidRPr="00AB1540" w:rsidRDefault="00AB1540" w:rsidP="00AB1540">
                    <w:pPr>
                      <w:spacing w:line="210" w:lineRule="exact"/>
                      <w:jc w:val="center"/>
                    </w:pPr>
                    <w:r>
                      <w:fldChar w:fldCharType="begin"/>
                    </w:r>
                    <w:r>
                      <w:instrText xml:space="preserve"> PAGE  \* MERGEFORMAT </w:instrText>
                    </w:r>
                    <w:r>
                      <w:fldChar w:fldCharType="separate"/>
                    </w:r>
                    <w:r w:rsidR="007E54B2">
                      <w:t>246</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540" w:rsidRDefault="00AB1540">
    <w:pPr>
      <w:pStyle w:val="afff9"/>
    </w:pPr>
    <w:r>
      <mc:AlternateContent>
        <mc:Choice Requires="wps">
          <w:drawing>
            <wp:anchor distT="0" distB="0" distL="114300" distR="114300" simplePos="0" relativeHeight="251659264"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5" name="文字方塊 5"/>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AB1540" w:rsidRPr="00AB1540" w:rsidRDefault="00AB1540" w:rsidP="00AB1540">
                          <w:pPr>
                            <w:spacing w:line="210" w:lineRule="exact"/>
                            <w:jc w:val="center"/>
                          </w:pPr>
                          <w:r>
                            <w:fldChar w:fldCharType="begin"/>
                          </w:r>
                          <w:r>
                            <w:instrText xml:space="preserve"> PAGE  \* MERGEFORMAT </w:instrText>
                          </w:r>
                          <w:r>
                            <w:fldChar w:fldCharType="separate"/>
                          </w:r>
                          <w:r w:rsidR="007E54B2">
                            <w:t>245</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5" o:spid="_x0000_s1029" type="#_x0000_t202" style="position:absolute;left:0;text-align:left;margin-left:.05pt;margin-top:-10.9pt;width:453.6pt;height:3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PWc6zAMDAABdBgAADgAAAAAAAAAAAAAAAAAuAgAAZHJzL2Uyb0RvYy54bWxQ&#10;SwECLQAUAAYACAAAACEAG7Ayo98AAAAHAQAADwAAAAAAAAAAAAAAAABdBQAAZHJzL2Rvd25yZXYu&#10;eG1sUEsFBgAAAAAEAAQA8wAAAGkGAAAAAA==&#10;" filled="f" stroked="f" strokeweight=".5pt">
              <v:textbox>
                <w:txbxContent>
                  <w:p w:rsidR="00AB1540" w:rsidRPr="00AB1540" w:rsidRDefault="00AB1540" w:rsidP="00AB1540">
                    <w:pPr>
                      <w:spacing w:line="210" w:lineRule="exact"/>
                      <w:jc w:val="center"/>
                    </w:pPr>
                    <w:r>
                      <w:fldChar w:fldCharType="begin"/>
                    </w:r>
                    <w:r>
                      <w:instrText xml:space="preserve"> PAGE  \* MERGEFORMAT </w:instrText>
                    </w:r>
                    <w:r>
                      <w:fldChar w:fldCharType="separate"/>
                    </w:r>
                    <w:r w:rsidR="007E54B2">
                      <w:t>245</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3742" w:rsidRDefault="00783742">
      <w:r>
        <w:separator/>
      </w:r>
    </w:p>
  </w:footnote>
  <w:footnote w:type="continuationSeparator" w:id="0">
    <w:p w:rsidR="00783742" w:rsidRDefault="007837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540" w:rsidRDefault="00AB1540">
    <w:pPr>
      <w:pStyle w:val="afffa"/>
    </w:pPr>
    <w:r>
      <mc:AlternateContent>
        <mc:Choice Requires="wps">
          <w:drawing>
            <wp:anchor distT="0" distB="0" distL="114300" distR="114300" simplePos="0" relativeHeight="251662336"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8" name="文字方塊 8"/>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AB1540" w:rsidRPr="00AB1540" w:rsidRDefault="00AB1540" w:rsidP="00AB1540">
                          <w:pPr>
                            <w:spacing w:line="294" w:lineRule="exact"/>
                            <w:jc w:val="left"/>
                          </w:pPr>
                          <w:r>
                            <w:rPr>
                              <w:rFonts w:hint="eastAsia"/>
                            </w:rPr>
                            <w:t>立法院公報　第</w:t>
                          </w:r>
                          <w:r>
                            <w:rPr>
                              <w:rFonts w:hint="eastAsia"/>
                            </w:rPr>
                            <w:t>113</w:t>
                          </w:r>
                          <w:r>
                            <w:rPr>
                              <w:rFonts w:hint="eastAsia"/>
                            </w:rPr>
                            <w:t>卷　第</w:t>
                          </w:r>
                          <w:r>
                            <w:rPr>
                              <w:rFonts w:hint="eastAsia"/>
                            </w:rPr>
                            <w:t>14</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8" o:spid="_x0000_s1026" type="#_x0000_t202" style="position:absolute;left:0;text-align:left;margin-left:.05pt;margin-top:-10.85pt;width:453.6pt;height:30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" filled="f" stroked="f" strokeweight=".5pt">
              <v:fill o:detectmouseclick="t"/>
              <v:textbox>
                <w:txbxContent>
                  <w:p w:rsidR="00AB1540" w:rsidRPr="00AB1540" w:rsidRDefault="00AB1540" w:rsidP="00AB1540">
                    <w:pPr>
                      <w:spacing w:line="294" w:lineRule="exact"/>
                      <w:jc w:val="left"/>
                    </w:pPr>
                    <w:r>
                      <w:rPr>
                        <w:rFonts w:hint="eastAsia"/>
                      </w:rPr>
                      <w:t>立法院公報　第</w:t>
                    </w:r>
                    <w:r>
                      <w:rPr>
                        <w:rFonts w:hint="eastAsia"/>
                      </w:rPr>
                      <w:t>113</w:t>
                    </w:r>
                    <w:r>
                      <w:rPr>
                        <w:rFonts w:hint="eastAsia"/>
                      </w:rPr>
                      <w:t>卷　第</w:t>
                    </w:r>
                    <w:r>
                      <w:rPr>
                        <w:rFonts w:hint="eastAsia"/>
                      </w:rPr>
                      <w:t>14</w:t>
                    </w:r>
                    <w:r>
                      <w:rPr>
                        <w:rFonts w:hint="eastAsia"/>
                      </w:rPr>
                      <w:t>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540" w:rsidRDefault="00AB1540">
    <w:pPr>
      <w:pStyle w:val="afffa"/>
    </w:pPr>
    <w:r>
      <mc:AlternateContent>
        <mc:Choice Requires="wps">
          <w:drawing>
            <wp:anchor distT="0" distB="0" distL="114300" distR="114300" simplePos="0" relativeHeight="251660288"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6" name="文字方塊 6"/>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AB1540" w:rsidRPr="00AB1540" w:rsidRDefault="00AB1540" w:rsidP="00AB1540">
                          <w:pPr>
                            <w:spacing w:line="294" w:lineRule="exact"/>
                            <w:jc w:val="right"/>
                          </w:pPr>
                          <w:r>
                            <w:rPr>
                              <w:rFonts w:hint="eastAsia"/>
                            </w:rPr>
                            <w:t>立法院公報　第</w:t>
                          </w:r>
                          <w:r>
                            <w:rPr>
                              <w:rFonts w:hint="eastAsia"/>
                            </w:rPr>
                            <w:t>113</w:t>
                          </w:r>
                          <w:r>
                            <w:rPr>
                              <w:rFonts w:hint="eastAsia"/>
                            </w:rPr>
                            <w:t>卷　第</w:t>
                          </w:r>
                          <w:r>
                            <w:rPr>
                              <w:rFonts w:hint="eastAsia"/>
                            </w:rPr>
                            <w:t>14</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6" o:spid="_x0000_s1027" type="#_x0000_t202" style="position:absolute;left:0;text-align:left;margin-left:.05pt;margin-top:-10.85pt;width:453.6pt;height:30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" filled="f" stroked="f" strokeweight=".5pt">
              <v:fill o:detectmouseclick="t"/>
              <v:textbox>
                <w:txbxContent>
                  <w:p w:rsidR="00AB1540" w:rsidRPr="00AB1540" w:rsidRDefault="00AB1540" w:rsidP="00AB1540">
                    <w:pPr>
                      <w:spacing w:line="294" w:lineRule="exact"/>
                      <w:jc w:val="right"/>
                    </w:pPr>
                    <w:r>
                      <w:rPr>
                        <w:rFonts w:hint="eastAsia"/>
                      </w:rPr>
                      <w:t>立法院公報　第</w:t>
                    </w:r>
                    <w:r>
                      <w:rPr>
                        <w:rFonts w:hint="eastAsia"/>
                      </w:rPr>
                      <w:t>113</w:t>
                    </w:r>
                    <w:r>
                      <w:rPr>
                        <w:rFonts w:hint="eastAsia"/>
                      </w:rPr>
                      <w:t>卷　第</w:t>
                    </w:r>
                    <w:r>
                      <w:rPr>
                        <w:rFonts w:hint="eastAsia"/>
                      </w:rPr>
                      <w:t>14</w:t>
                    </w:r>
                    <w:r>
                      <w:rPr>
                        <w:rFonts w:hint="eastAsia"/>
                      </w:rPr>
                      <w:t>期　院會紀錄</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061F2"/>
    <w:multiLevelType w:val="hybridMultilevel"/>
    <w:tmpl w:val="B310128E"/>
    <w:lvl w:ilvl="0" w:tplc="596864FC">
      <w:start w:val="1"/>
      <w:numFmt w:val="taiwaneseCountingThousand"/>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efaultTabStop w:val="480"/>
  <w:autoHyphenation/>
  <w:hyphenationZone w:val="142"/>
  <w:evenAndOddHeaders/>
  <w:drawingGridHorizontalSpacing w:val="211"/>
  <w:drawingGridVerticalSpacing w:val="335"/>
  <w:displayHorizontalDrawingGridEvery w:val="0"/>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D4F"/>
    <w:rsid w:val="00021974"/>
    <w:rsid w:val="000322E4"/>
    <w:rsid w:val="00034179"/>
    <w:rsid w:val="0006260D"/>
    <w:rsid w:val="0007483B"/>
    <w:rsid w:val="00092EFA"/>
    <w:rsid w:val="000B190B"/>
    <w:rsid w:val="000C6344"/>
    <w:rsid w:val="000D2076"/>
    <w:rsid w:val="000E3372"/>
    <w:rsid w:val="000F48AA"/>
    <w:rsid w:val="001132D3"/>
    <w:rsid w:val="001166AB"/>
    <w:rsid w:val="00123301"/>
    <w:rsid w:val="00130626"/>
    <w:rsid w:val="001346DF"/>
    <w:rsid w:val="00152E55"/>
    <w:rsid w:val="00174DC3"/>
    <w:rsid w:val="001776A7"/>
    <w:rsid w:val="00192966"/>
    <w:rsid w:val="001A0A32"/>
    <w:rsid w:val="001A5138"/>
    <w:rsid w:val="001A7C69"/>
    <w:rsid w:val="001E1A19"/>
    <w:rsid w:val="001E385A"/>
    <w:rsid w:val="00235073"/>
    <w:rsid w:val="00235BD9"/>
    <w:rsid w:val="00240FA3"/>
    <w:rsid w:val="0024333A"/>
    <w:rsid w:val="00243679"/>
    <w:rsid w:val="00252A12"/>
    <w:rsid w:val="00293B0A"/>
    <w:rsid w:val="002A04DC"/>
    <w:rsid w:val="002A509E"/>
    <w:rsid w:val="002C335B"/>
    <w:rsid w:val="00355CB3"/>
    <w:rsid w:val="00360394"/>
    <w:rsid w:val="00362E94"/>
    <w:rsid w:val="00372E8D"/>
    <w:rsid w:val="00385E13"/>
    <w:rsid w:val="00387860"/>
    <w:rsid w:val="003A00D7"/>
    <w:rsid w:val="003B341B"/>
    <w:rsid w:val="004034F0"/>
    <w:rsid w:val="004047CB"/>
    <w:rsid w:val="004115A3"/>
    <w:rsid w:val="004126B4"/>
    <w:rsid w:val="0042704C"/>
    <w:rsid w:val="0044045C"/>
    <w:rsid w:val="00441B24"/>
    <w:rsid w:val="00443AB2"/>
    <w:rsid w:val="00453F8A"/>
    <w:rsid w:val="00473B4E"/>
    <w:rsid w:val="00485C17"/>
    <w:rsid w:val="004B3E0E"/>
    <w:rsid w:val="004D78BA"/>
    <w:rsid w:val="004E74DF"/>
    <w:rsid w:val="00542984"/>
    <w:rsid w:val="00552448"/>
    <w:rsid w:val="005B1DB0"/>
    <w:rsid w:val="00632430"/>
    <w:rsid w:val="00655703"/>
    <w:rsid w:val="006873C4"/>
    <w:rsid w:val="006B2CB0"/>
    <w:rsid w:val="006C7F9F"/>
    <w:rsid w:val="006D7D23"/>
    <w:rsid w:val="006E2402"/>
    <w:rsid w:val="006E3C20"/>
    <w:rsid w:val="006F10CF"/>
    <w:rsid w:val="006F5861"/>
    <w:rsid w:val="00722A05"/>
    <w:rsid w:val="00732BD2"/>
    <w:rsid w:val="00735FD8"/>
    <w:rsid w:val="007776A4"/>
    <w:rsid w:val="00781901"/>
    <w:rsid w:val="00783742"/>
    <w:rsid w:val="007908D5"/>
    <w:rsid w:val="00794FA3"/>
    <w:rsid w:val="007A1C27"/>
    <w:rsid w:val="007A4599"/>
    <w:rsid w:val="007B46DC"/>
    <w:rsid w:val="007C4084"/>
    <w:rsid w:val="007D04A0"/>
    <w:rsid w:val="007E54B2"/>
    <w:rsid w:val="007E74DC"/>
    <w:rsid w:val="007F7A16"/>
    <w:rsid w:val="00861B21"/>
    <w:rsid w:val="00863C32"/>
    <w:rsid w:val="00864C67"/>
    <w:rsid w:val="00883D74"/>
    <w:rsid w:val="008A0C5D"/>
    <w:rsid w:val="008B4209"/>
    <w:rsid w:val="008E5D88"/>
    <w:rsid w:val="0090241A"/>
    <w:rsid w:val="00926F56"/>
    <w:rsid w:val="00953480"/>
    <w:rsid w:val="00963798"/>
    <w:rsid w:val="00986023"/>
    <w:rsid w:val="00992003"/>
    <w:rsid w:val="009C16B2"/>
    <w:rsid w:val="009C3904"/>
    <w:rsid w:val="009D3F34"/>
    <w:rsid w:val="009E10F6"/>
    <w:rsid w:val="00A05B7F"/>
    <w:rsid w:val="00A0600A"/>
    <w:rsid w:val="00A13259"/>
    <w:rsid w:val="00A2141B"/>
    <w:rsid w:val="00A32A9C"/>
    <w:rsid w:val="00A678DC"/>
    <w:rsid w:val="00A80A44"/>
    <w:rsid w:val="00A86BD4"/>
    <w:rsid w:val="00A876DC"/>
    <w:rsid w:val="00AA2ADF"/>
    <w:rsid w:val="00AB1540"/>
    <w:rsid w:val="00AC692A"/>
    <w:rsid w:val="00AC6A09"/>
    <w:rsid w:val="00AD6810"/>
    <w:rsid w:val="00B15BB5"/>
    <w:rsid w:val="00B278AB"/>
    <w:rsid w:val="00B40364"/>
    <w:rsid w:val="00BA71D7"/>
    <w:rsid w:val="00BB5684"/>
    <w:rsid w:val="00BE0A55"/>
    <w:rsid w:val="00BF63AF"/>
    <w:rsid w:val="00C201E0"/>
    <w:rsid w:val="00C216C6"/>
    <w:rsid w:val="00C50091"/>
    <w:rsid w:val="00C82D4F"/>
    <w:rsid w:val="00C84B2E"/>
    <w:rsid w:val="00C9556F"/>
    <w:rsid w:val="00C9653B"/>
    <w:rsid w:val="00CD541C"/>
    <w:rsid w:val="00CE016C"/>
    <w:rsid w:val="00CF12AE"/>
    <w:rsid w:val="00CF6866"/>
    <w:rsid w:val="00D03570"/>
    <w:rsid w:val="00D05F85"/>
    <w:rsid w:val="00D07EA1"/>
    <w:rsid w:val="00D22A25"/>
    <w:rsid w:val="00D32121"/>
    <w:rsid w:val="00D542A5"/>
    <w:rsid w:val="00D65F9F"/>
    <w:rsid w:val="00D84D2B"/>
    <w:rsid w:val="00D922B6"/>
    <w:rsid w:val="00DA65B7"/>
    <w:rsid w:val="00DA6A2B"/>
    <w:rsid w:val="00DA7D72"/>
    <w:rsid w:val="00DC2697"/>
    <w:rsid w:val="00DE0D1A"/>
    <w:rsid w:val="00DF37C2"/>
    <w:rsid w:val="00DF389A"/>
    <w:rsid w:val="00E049FB"/>
    <w:rsid w:val="00E10D3F"/>
    <w:rsid w:val="00E174AB"/>
    <w:rsid w:val="00E20354"/>
    <w:rsid w:val="00E21EEE"/>
    <w:rsid w:val="00E42982"/>
    <w:rsid w:val="00E51C63"/>
    <w:rsid w:val="00E62000"/>
    <w:rsid w:val="00E67FFE"/>
    <w:rsid w:val="00E72EE7"/>
    <w:rsid w:val="00EA02A7"/>
    <w:rsid w:val="00EC145C"/>
    <w:rsid w:val="00ED580D"/>
    <w:rsid w:val="00ED5C0E"/>
    <w:rsid w:val="00ED5E9D"/>
    <w:rsid w:val="00F1464A"/>
    <w:rsid w:val="00F30B58"/>
    <w:rsid w:val="00F474B2"/>
    <w:rsid w:val="00F61EC1"/>
    <w:rsid w:val="00F71E07"/>
    <w:rsid w:val="00F82284"/>
    <w:rsid w:val="00F85C4D"/>
    <w:rsid w:val="00F92C63"/>
    <w:rsid w:val="00FA2348"/>
    <w:rsid w:val="00FD50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6344"/>
    <w:pPr>
      <w:widowControl w:val="0"/>
      <w:kinsoku w:val="0"/>
      <w:overflowPunct w:val="0"/>
      <w:jc w:val="both"/>
      <w:textAlignment w:val="center"/>
    </w:pPr>
    <w:rPr>
      <w:rFonts w:eastAsia="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paragraph" w:styleId="2">
    <w:name w:val="heading 2"/>
    <w:basedOn w:val="a"/>
    <w:next w:val="a"/>
    <w:link w:val="20"/>
    <w:uiPriority w:val="9"/>
    <w:semiHidden/>
    <w:unhideWhenUsed/>
    <w:qFormat/>
    <w:rsid w:val="0042704C"/>
    <w:pPr>
      <w:keepNext/>
      <w:spacing w:line="720" w:lineRule="auto"/>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rsid w:val="00E20354"/>
    <w:pPr>
      <w:snapToGrid w:val="0"/>
      <w:ind w:leftChars="400" w:left="400"/>
    </w:pPr>
    <w:rPr>
      <w:rFonts w:eastAsia="標楷體"/>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sid w:val="000F48AA"/>
    <w:rPr>
      <w:rFonts w:eastAsia="標楷體"/>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rsid w:val="00E20354"/>
    <w:pPr>
      <w:spacing w:line="480" w:lineRule="exact"/>
      <w:ind w:leftChars="250" w:left="550" w:hangingChars="300" w:hanging="300"/>
    </w:pPr>
    <w:rPr>
      <w:rFonts w:eastAsia="標楷體"/>
      <w:spacing w:val="2"/>
      <w:kern w:val="0"/>
      <w:sz w:val="28"/>
    </w:rPr>
  </w:style>
  <w:style w:type="paragraph" w:customStyle="1" w:styleId="afc">
    <w:name w:val="委員會提案"/>
    <w:basedOn w:val="afb"/>
    <w:rsid w:val="00E20354"/>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sid w:val="00E20354"/>
    <w:rPr>
      <w:rFonts w:eastAsia="微軟正黑體"/>
      <w:b/>
    </w:rPr>
  </w:style>
  <w:style w:type="paragraph" w:customStyle="1" w:styleId="affc">
    <w:name w:val="表格說明(提案說明)"/>
    <w:basedOn w:val="affb"/>
    <w:next w:val="a"/>
    <w:rsid w:val="00E20354"/>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rsid w:val="00E20354"/>
    <w:pPr>
      <w:spacing w:line="420" w:lineRule="exact"/>
    </w:pPr>
    <w:rPr>
      <w:rFonts w:eastAsia="微軟正黑體"/>
      <w:b/>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rsid w:val="00E20354"/>
    <w:pPr>
      <w:snapToGrid w:val="0"/>
      <w:spacing w:beforeLines="70" w:before="70" w:afterLines="50" w:after="50"/>
      <w:jc w:val="left"/>
    </w:pPr>
    <w:rPr>
      <w:rFonts w:eastAsia="標楷體"/>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rsid w:val="00E20354"/>
    <w:pPr>
      <w:spacing w:afterLines="50" w:after="50"/>
      <w:ind w:leftChars="400" w:left="400"/>
    </w:pPr>
    <w:rPr>
      <w:rFonts w:eastAsia="標楷體"/>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rsid w:val="00E20354"/>
    <w:pPr>
      <w:spacing w:line="420" w:lineRule="exact"/>
    </w:pPr>
    <w:rPr>
      <w:rFonts w:eastAsia="標楷體"/>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4">
    <w:name w:val="提案連署人(黨團)"/>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5">
    <w:name w:val="提案號"/>
    <w:basedOn w:val="a"/>
    <w:rsid w:val="00E20354"/>
    <w:pPr>
      <w:spacing w:line="420" w:lineRule="exact"/>
    </w:pPr>
    <w:rPr>
      <w:rFonts w:eastAsia="標楷體"/>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sid w:val="00E20354"/>
    <w:rPr>
      <w:rFonts w:eastAsia="微軟正黑體"/>
      <w:b/>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rsid w:val="00E20354"/>
    <w:pPr>
      <w:spacing w:line="420" w:lineRule="exact"/>
      <w:ind w:leftChars="900" w:left="900"/>
      <w:jc w:val="left"/>
    </w:pPr>
    <w:rPr>
      <w:rFonts w:eastAsia="標楷體"/>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rsid w:val="00BF63AF"/>
    <w:pPr>
      <w:spacing w:line="420" w:lineRule="exact"/>
    </w:pPr>
    <w:rPr>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rsid w:val="00E20354"/>
    <w:pPr>
      <w:spacing w:afterLines="50" w:after="50"/>
      <w:ind w:leftChars="500" w:left="600" w:hangingChars="100" w:hanging="100"/>
    </w:pPr>
    <w:rPr>
      <w:rFonts w:eastAsia="標楷體"/>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1">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rsid w:val="000F48AA"/>
    <w:pPr>
      <w:spacing w:afterLines="50" w:after="50"/>
      <w:ind w:leftChars="550" w:left="550"/>
    </w:pPr>
    <w:rPr>
      <w:rFonts w:eastAsia="標楷體"/>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rsid w:val="0042704C"/>
    <w:pPr>
      <w:spacing w:line="420" w:lineRule="exact"/>
      <w:ind w:leftChars="1100" w:left="1100" w:firstLineChars="0" w:firstLine="0"/>
    </w:pPr>
    <w:rPr>
      <w:rFonts w:eastAsia="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 w:type="character" w:customStyle="1" w:styleId="20">
    <w:name w:val="標題 2 字元"/>
    <w:link w:val="2"/>
    <w:uiPriority w:val="9"/>
    <w:semiHidden/>
    <w:rsid w:val="0042704C"/>
    <w:rPr>
      <w:rFonts w:ascii="Calibri Light" w:eastAsia="細明體" w:hAnsi="Calibri Light" w:cs="Times New Roman"/>
      <w:b/>
      <w:bCs/>
      <w:noProof/>
      <w:kern w:val="2"/>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6344"/>
    <w:pPr>
      <w:widowControl w:val="0"/>
      <w:kinsoku w:val="0"/>
      <w:overflowPunct w:val="0"/>
      <w:jc w:val="both"/>
      <w:textAlignment w:val="center"/>
    </w:pPr>
    <w:rPr>
      <w:rFonts w:eastAsia="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paragraph" w:styleId="2">
    <w:name w:val="heading 2"/>
    <w:basedOn w:val="a"/>
    <w:next w:val="a"/>
    <w:link w:val="20"/>
    <w:uiPriority w:val="9"/>
    <w:semiHidden/>
    <w:unhideWhenUsed/>
    <w:qFormat/>
    <w:rsid w:val="0042704C"/>
    <w:pPr>
      <w:keepNext/>
      <w:spacing w:line="720" w:lineRule="auto"/>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rsid w:val="00E20354"/>
    <w:pPr>
      <w:snapToGrid w:val="0"/>
      <w:ind w:leftChars="400" w:left="400"/>
    </w:pPr>
    <w:rPr>
      <w:rFonts w:eastAsia="標楷體"/>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sid w:val="000F48AA"/>
    <w:rPr>
      <w:rFonts w:eastAsia="標楷體"/>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rsid w:val="00E20354"/>
    <w:pPr>
      <w:spacing w:line="480" w:lineRule="exact"/>
      <w:ind w:leftChars="250" w:left="550" w:hangingChars="300" w:hanging="300"/>
    </w:pPr>
    <w:rPr>
      <w:rFonts w:eastAsia="標楷體"/>
      <w:spacing w:val="2"/>
      <w:kern w:val="0"/>
      <w:sz w:val="28"/>
    </w:rPr>
  </w:style>
  <w:style w:type="paragraph" w:customStyle="1" w:styleId="afc">
    <w:name w:val="委員會提案"/>
    <w:basedOn w:val="afb"/>
    <w:rsid w:val="00E20354"/>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sid w:val="00E20354"/>
    <w:rPr>
      <w:rFonts w:eastAsia="微軟正黑體"/>
      <w:b/>
    </w:rPr>
  </w:style>
  <w:style w:type="paragraph" w:customStyle="1" w:styleId="affc">
    <w:name w:val="表格說明(提案說明)"/>
    <w:basedOn w:val="affb"/>
    <w:next w:val="a"/>
    <w:rsid w:val="00E20354"/>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rsid w:val="00E20354"/>
    <w:pPr>
      <w:spacing w:line="420" w:lineRule="exact"/>
    </w:pPr>
    <w:rPr>
      <w:rFonts w:eastAsia="微軟正黑體"/>
      <w:b/>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rsid w:val="00E20354"/>
    <w:pPr>
      <w:snapToGrid w:val="0"/>
      <w:spacing w:beforeLines="70" w:before="70" w:afterLines="50" w:after="50"/>
      <w:jc w:val="left"/>
    </w:pPr>
    <w:rPr>
      <w:rFonts w:eastAsia="標楷體"/>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rsid w:val="00E20354"/>
    <w:pPr>
      <w:spacing w:afterLines="50" w:after="50"/>
      <w:ind w:leftChars="400" w:left="400"/>
    </w:pPr>
    <w:rPr>
      <w:rFonts w:eastAsia="標楷體"/>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rsid w:val="00E20354"/>
    <w:pPr>
      <w:spacing w:line="420" w:lineRule="exact"/>
    </w:pPr>
    <w:rPr>
      <w:rFonts w:eastAsia="標楷體"/>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4">
    <w:name w:val="提案連署人(黨團)"/>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5">
    <w:name w:val="提案號"/>
    <w:basedOn w:val="a"/>
    <w:rsid w:val="00E20354"/>
    <w:pPr>
      <w:spacing w:line="420" w:lineRule="exact"/>
    </w:pPr>
    <w:rPr>
      <w:rFonts w:eastAsia="標楷體"/>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sid w:val="00E20354"/>
    <w:rPr>
      <w:rFonts w:eastAsia="微軟正黑體"/>
      <w:b/>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rsid w:val="00E20354"/>
    <w:pPr>
      <w:spacing w:line="420" w:lineRule="exact"/>
      <w:ind w:leftChars="900" w:left="900"/>
      <w:jc w:val="left"/>
    </w:pPr>
    <w:rPr>
      <w:rFonts w:eastAsia="標楷體"/>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rsid w:val="00BF63AF"/>
    <w:pPr>
      <w:spacing w:line="420" w:lineRule="exact"/>
    </w:pPr>
    <w:rPr>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rsid w:val="00E20354"/>
    <w:pPr>
      <w:spacing w:afterLines="50" w:after="50"/>
      <w:ind w:leftChars="500" w:left="600" w:hangingChars="100" w:hanging="100"/>
    </w:pPr>
    <w:rPr>
      <w:rFonts w:eastAsia="標楷體"/>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1">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rsid w:val="000F48AA"/>
    <w:pPr>
      <w:spacing w:afterLines="50" w:after="50"/>
      <w:ind w:leftChars="550" w:left="550"/>
    </w:pPr>
    <w:rPr>
      <w:rFonts w:eastAsia="標楷體"/>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rsid w:val="0042704C"/>
    <w:pPr>
      <w:spacing w:line="420" w:lineRule="exact"/>
      <w:ind w:leftChars="1100" w:left="1100" w:firstLineChars="0" w:firstLine="0"/>
    </w:pPr>
    <w:rPr>
      <w:rFonts w:eastAsia="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 w:type="character" w:customStyle="1" w:styleId="20">
    <w:name w:val="標題 2 字元"/>
    <w:link w:val="2"/>
    <w:uiPriority w:val="9"/>
    <w:semiHidden/>
    <w:rsid w:val="0042704C"/>
    <w:rPr>
      <w:rFonts w:ascii="Calibri Light" w:eastAsia="細明體" w:hAnsi="Calibri Light" w:cs="Times New Roman"/>
      <w:b/>
      <w:bCs/>
      <w:noProof/>
      <w:kern w:val="2"/>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DCB707-BA02-4E9A-9779-0EF9381A4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LCEWA01.dot</Template>
  <TotalTime>0</TotalTime>
  <Pages>6</Pages>
  <Words>828</Words>
  <Characters>4724</Characters>
  <Application>Microsoft Office Word</Application>
  <DocSecurity>0</DocSecurity>
  <Lines>39</Lines>
  <Paragraphs>11</Paragraphs>
  <ScaleCrop>false</ScaleCrop>
  <Company/>
  <LinksUpToDate>false</LinksUpToDate>
  <CharactersWithSpaces>5541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cp:keywords>
  <dc:description>241;246;6;;</dc:description>
  <cp:lastModifiedBy>user</cp:lastModifiedBy>
  <cp:revision>2</cp:revision>
  <cp:lastPrinted>2004-10-07T02:24:00Z</cp:lastPrinted>
  <dcterms:created xsi:type="dcterms:W3CDTF">2024-04-11T04:36:00Z</dcterms:created>
  <dcterms:modified xsi:type="dcterms:W3CDTF">2024-04-11T04:36:00Z</dcterms:modified>
</cp:coreProperties>
</file>