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510BD" w14:textId="77777777" w:rsidR="00747C53" w:rsidRDefault="00747C53" w:rsidP="00747C53">
      <w:pPr>
        <w:pStyle w:val="affe"/>
        <w:ind w:left="323"/>
      </w:pPr>
      <w:r>
        <w:rPr>
          <w:rFonts w:hint="eastAsia"/>
        </w:rPr>
        <w:t>乙、本院委員質詢部分</w:t>
      </w:r>
    </w:p>
    <w:p w14:paraId="32EFF7B4" w14:textId="77777777" w:rsidR="00747C53" w:rsidRPr="003E6404" w:rsidRDefault="00747C53" w:rsidP="00BD357B">
      <w:pPr>
        <w:pStyle w:val="afb"/>
        <w:spacing w:beforeLines="100" w:before="335" w:line="440" w:lineRule="exact"/>
        <w:ind w:leftChars="0" w:left="855" w:hanging="855"/>
      </w:pPr>
      <w:r>
        <w:rPr>
          <w:rFonts w:hint="eastAsia"/>
        </w:rPr>
        <w:t>（一）</w:t>
      </w:r>
      <w:r w:rsidRPr="003E6404">
        <w:rPr>
          <w:rFonts w:hint="eastAsia"/>
        </w:rPr>
        <w:t>本院羅委員智強，鑑於台電減免電費名單將菸草製造業列入</w:t>
      </w:r>
      <w:r w:rsidRPr="003E6404">
        <w:rPr>
          <w:rFonts w:hint="eastAsia"/>
          <w:spacing w:val="8"/>
        </w:rPr>
        <w:t>可減免百分之七範圍，多數醫療院所不符電費減免條件，調</w:t>
      </w:r>
      <w:r w:rsidRPr="003E6404">
        <w:rPr>
          <w:rFonts w:hint="eastAsia"/>
        </w:rPr>
        <w:t>漲比率達百分之十四，高於產業電價平均調漲百分之十二點五一事，特向行政院提出質詢。</w:t>
      </w:r>
    </w:p>
    <w:p w14:paraId="3AFE9473" w14:textId="77777777" w:rsidR="00747C53" w:rsidRPr="000F22E4" w:rsidRDefault="00747C53" w:rsidP="00747C53">
      <w:pPr>
        <w:pStyle w:val="a4"/>
        <w:spacing w:line="240" w:lineRule="auto"/>
        <w:ind w:left="633" w:hanging="633"/>
      </w:pPr>
    </w:p>
    <w:p w14:paraId="5391D45F" w14:textId="77777777" w:rsidR="00747C53" w:rsidRDefault="00747C53" w:rsidP="00BD357B">
      <w:pPr>
        <w:pStyle w:val="a4"/>
        <w:spacing w:line="400" w:lineRule="exact"/>
        <w:ind w:left="633" w:hanging="633"/>
      </w:pPr>
      <w:r>
        <w:rPr>
          <w:rFonts w:hint="eastAsia"/>
        </w:rPr>
        <w:t>說明：</w:t>
      </w:r>
    </w:p>
    <w:p w14:paraId="1C8D1D20" w14:textId="77777777" w:rsidR="00747C53" w:rsidRDefault="00747C53" w:rsidP="00BD357B">
      <w:pPr>
        <w:pStyle w:val="afffff"/>
        <w:ind w:leftChars="100" w:left="211" w:firstLineChars="200" w:firstLine="422"/>
      </w:pPr>
      <w:r w:rsidRPr="000F22E4">
        <w:rPr>
          <w:rFonts w:hint="eastAsia"/>
        </w:rPr>
        <w:t>電價審議會在</w:t>
      </w:r>
      <w:r w:rsidRPr="000F22E4">
        <w:rPr>
          <w:rFonts w:hint="eastAsia"/>
        </w:rPr>
        <w:t>9</w:t>
      </w:r>
      <w:r w:rsidRPr="000F22E4">
        <w:rPr>
          <w:rFonts w:hint="eastAsia"/>
        </w:rPr>
        <w:t>月</w:t>
      </w:r>
      <w:r w:rsidRPr="000F22E4">
        <w:rPr>
          <w:rFonts w:hint="eastAsia"/>
        </w:rPr>
        <w:t>30</w:t>
      </w:r>
      <w:r w:rsidRPr="000F22E4">
        <w:rPr>
          <w:rFonts w:hint="eastAsia"/>
        </w:rPr>
        <w:t>日決議並發佈公告，新一輪電價調整於十月十六日上路，產業電價平均調幅</w:t>
      </w:r>
      <w:r w:rsidRPr="000F22E4">
        <w:rPr>
          <w:rFonts w:hint="eastAsia"/>
        </w:rPr>
        <w:t>12.5%</w:t>
      </w:r>
      <w:r w:rsidRPr="000F22E4">
        <w:rPr>
          <w:rFonts w:hint="eastAsia"/>
        </w:rPr>
        <w:t>，部分用電大戶調幅最高達</w:t>
      </w:r>
      <w:r w:rsidRPr="000F22E4">
        <w:rPr>
          <w:rFonts w:hint="eastAsia"/>
        </w:rPr>
        <w:t>14%</w:t>
      </w:r>
      <w:r w:rsidRPr="000F22E4">
        <w:rPr>
          <w:rFonts w:hint="eastAsia"/>
        </w:rPr>
        <w:t>，對於整體民生消費物價造成重大衝擊，不少產業呼籲應重新檢討各別產業對於民生之影響。</w:t>
      </w:r>
    </w:p>
    <w:p w14:paraId="6CA31B94" w14:textId="77777777" w:rsidR="00747C53" w:rsidRDefault="00747C53" w:rsidP="00BD357B">
      <w:pPr>
        <w:pStyle w:val="afffff"/>
        <w:ind w:leftChars="100" w:left="211" w:firstLineChars="200" w:firstLine="422"/>
      </w:pPr>
      <w:r>
        <w:rPr>
          <w:rFonts w:hint="eastAsia"/>
        </w:rPr>
        <w:t>細究台電以行業別代碼所公布電費調漲範圍，竟發現多數醫療院所不符電費減免條件，調漲比率達百分之十四，高於產業電價平均調漲百分之十二點五。反之，對於健康有害的菸草製造業，不僅漲幅未如同救命的醫療院所，還可減免百分之七，讓醫師與民眾紛紛感嘆「救命的比不上賣菸的」。</w:t>
      </w:r>
    </w:p>
    <w:p w14:paraId="4865FD7E" w14:textId="77777777" w:rsidR="00747C53" w:rsidRDefault="00747C53" w:rsidP="00BD357B">
      <w:pPr>
        <w:pStyle w:val="afffff"/>
        <w:ind w:leftChars="100" w:left="211" w:firstLineChars="200" w:firstLine="422"/>
      </w:pPr>
      <w:r>
        <w:rPr>
          <w:rFonts w:hint="eastAsia"/>
        </w:rPr>
        <w:t>董氏基金會亦對此表示擔憂，醫界憂心電價調漲，讓醫療院所不堪負荷，進而影響營運狀況、醫護人員持續出走等結構性亂象，但菸草製造業卻是受惠，難怪醫界對此忿忿不平。</w:t>
      </w:r>
    </w:p>
    <w:p w14:paraId="0BBAA704" w14:textId="77777777" w:rsidR="00747C53" w:rsidRDefault="00747C53" w:rsidP="00BD357B">
      <w:pPr>
        <w:pStyle w:val="afffff"/>
        <w:ind w:leftChars="100" w:left="211" w:firstLineChars="200" w:firstLine="422"/>
      </w:pPr>
      <w:r>
        <w:rPr>
          <w:rFonts w:hint="eastAsia"/>
        </w:rPr>
        <w:t>固然在民眾罵聲不斷後，經濟部於</w:t>
      </w:r>
      <w:r>
        <w:rPr>
          <w:rFonts w:hint="eastAsia"/>
        </w:rPr>
        <w:t>3</w:t>
      </w:r>
      <w:r>
        <w:rPr>
          <w:rFonts w:hint="eastAsia"/>
        </w:rPr>
        <w:t>日緊急宣布，菸草製造業調</w:t>
      </w:r>
      <w:r>
        <w:rPr>
          <w:rFonts w:hint="eastAsia"/>
        </w:rPr>
        <w:t>14%</w:t>
      </w:r>
      <w:r>
        <w:rPr>
          <w:rFonts w:hint="eastAsia"/>
        </w:rPr>
        <w:t>，醫院診所、餐食及外燴及團膳承包業、花蓮旅宿業等業別給予凍漲，仍顯見電價費率審議會在審議過程中，並未詳實地針對各產業內容與對民生影響差異進行逐一審視，僅以帳面上之能源使用進行評定。</w:t>
      </w:r>
    </w:p>
    <w:p w14:paraId="12A5E892" w14:textId="77777777" w:rsidR="00747C53" w:rsidRDefault="00747C53" w:rsidP="00BD357B">
      <w:pPr>
        <w:pStyle w:val="afffff"/>
        <w:ind w:leftChars="100" w:left="211" w:firstLineChars="200" w:firstLine="422"/>
      </w:pPr>
      <w:r>
        <w:rPr>
          <w:rFonts w:hint="eastAsia"/>
        </w:rPr>
        <w:t>通膨持續升溫！行政院主計總處八月發布</w:t>
      </w:r>
      <w:r>
        <w:rPr>
          <w:rFonts w:hint="eastAsia"/>
        </w:rPr>
        <w:t>2024</w:t>
      </w:r>
      <w:r>
        <w:rPr>
          <w:rFonts w:hint="eastAsia"/>
        </w:rPr>
        <w:t>年七月物價調查結果，七月</w:t>
      </w:r>
      <w:r>
        <w:rPr>
          <w:rFonts w:hint="eastAsia"/>
        </w:rPr>
        <w:t>CPI</w:t>
      </w:r>
      <w:r>
        <w:rPr>
          <w:rFonts w:hint="eastAsia"/>
        </w:rPr>
        <w:t>年增率</w:t>
      </w:r>
      <w:r>
        <w:rPr>
          <w:rFonts w:hint="eastAsia"/>
        </w:rPr>
        <w:t>2.52%</w:t>
      </w:r>
      <w:r>
        <w:rPr>
          <w:rFonts w:hint="eastAsia"/>
        </w:rPr>
        <w:t>，為近月新高。今年上半年通膨率也達</w:t>
      </w:r>
      <w:r>
        <w:rPr>
          <w:rFonts w:hint="eastAsia"/>
        </w:rPr>
        <w:t>2.27%</w:t>
      </w:r>
      <w:r>
        <w:rPr>
          <w:rFonts w:hint="eastAsia"/>
        </w:rPr>
        <w:t>，依舊飆破</w:t>
      </w:r>
      <w:r>
        <w:rPr>
          <w:rFonts w:hint="eastAsia"/>
        </w:rPr>
        <w:t>2%</w:t>
      </w:r>
      <w:r>
        <w:rPr>
          <w:rFonts w:hint="eastAsia"/>
        </w:rPr>
        <w:t>通膨警戒線。雖部分產業符合用電及產值衰退的標準，但考量國家政策與公共利益，仍應納入民生物價相關性較高的產業，盡量減低民眾所承受的高物價痛苦指數。</w:t>
      </w:r>
    </w:p>
    <w:p w14:paraId="01D7F1A6" w14:textId="77777777" w:rsidR="00747C53" w:rsidRDefault="00747C53" w:rsidP="00BD357B">
      <w:pPr>
        <w:pStyle w:val="afffff"/>
        <w:ind w:leftChars="100" w:left="211" w:firstLineChars="200" w:firstLine="422"/>
      </w:pPr>
      <w:r>
        <w:rPr>
          <w:rFonts w:hint="eastAsia"/>
        </w:rPr>
        <w:t>台電發言人副總蔡志孟受訪時提及，用電衰退百分之五及產值衰退百分之十五兩項電價漲幅減半優惠條件，是電價審議會的決定，台電只是按審議會的決定。台電用電戶的行業別是依據主計總處行業分類中的小類，看來應是無法再細分，若相關團體認於政府不該用電價調整方案，應是從其他可直接影響的政策做引導，而不是從用電考量。</w:t>
      </w:r>
    </w:p>
    <w:p w14:paraId="545E2127" w14:textId="77777777" w:rsidR="00747C53" w:rsidRDefault="00747C53" w:rsidP="00BD357B">
      <w:pPr>
        <w:pStyle w:val="afffff"/>
        <w:ind w:leftChars="100" w:left="211" w:firstLineChars="200" w:firstLine="422"/>
      </w:pPr>
      <w:r>
        <w:rPr>
          <w:rFonts w:hint="eastAsia"/>
        </w:rPr>
        <w:t>由於經濟部就相關調整方案，僅與電價費率審議會委員口頭報告，後續將採取書面方式確認，並將相關資訊列入會議資料及記錄作為正式補充。本席請行政院應責成經濟部與電價費率審議會重新召開，縝密檢討電價調整方案並暫緩本次電價調整上路。</w:t>
      </w:r>
    </w:p>
    <w:p w14:paraId="3A2AC9AF" w14:textId="77777777" w:rsidR="00747C53" w:rsidRPr="003E6404" w:rsidRDefault="00747C53" w:rsidP="00747C53">
      <w:pPr>
        <w:pStyle w:val="afb"/>
        <w:spacing w:beforeLines="100" w:before="335" w:line="420" w:lineRule="exact"/>
        <w:ind w:leftChars="0" w:left="855" w:hanging="855"/>
      </w:pPr>
      <w:r>
        <w:rPr>
          <w:rFonts w:hint="eastAsia"/>
        </w:rPr>
        <w:lastRenderedPageBreak/>
        <w:t>（二）</w:t>
      </w:r>
      <w:r w:rsidRPr="003E6404">
        <w:rPr>
          <w:rFonts w:hint="eastAsia"/>
        </w:rPr>
        <w:t>本院鍾委員佳濱，鑑於屏東東港安泰醫院發生大火時，適逢颱風山陀兒侵擾南臺灣，案發地點備有大量柴油供應發電機</w:t>
      </w:r>
      <w:r w:rsidRPr="003E6404">
        <w:rPr>
          <w:rFonts w:hint="eastAsia"/>
          <w:spacing w:val="8"/>
        </w:rPr>
        <w:t>運作，若點燃柴油將加劇火災濃煙產生；另抽水站及水產養</w:t>
      </w:r>
      <w:r w:rsidRPr="003E6404">
        <w:rPr>
          <w:rFonts w:hint="eastAsia"/>
        </w:rPr>
        <w:t>殖也都將柴油發電機做備援電力系統，當淹水發生時柴油發電機因各種因素終止運轉，為免上述情況再度發生，特向行政院提出質詢。</w:t>
      </w:r>
    </w:p>
    <w:p w14:paraId="16881A5D" w14:textId="77777777" w:rsidR="00747C53" w:rsidRPr="00111899" w:rsidRDefault="00747C53" w:rsidP="00747C53">
      <w:pPr>
        <w:pStyle w:val="a4"/>
        <w:spacing w:line="240" w:lineRule="auto"/>
        <w:ind w:left="633" w:hanging="633"/>
      </w:pPr>
    </w:p>
    <w:p w14:paraId="7E6828D0" w14:textId="77777777" w:rsidR="00747C53" w:rsidRDefault="00747C53" w:rsidP="00747C53">
      <w:pPr>
        <w:pStyle w:val="a4"/>
        <w:spacing w:line="380" w:lineRule="exact"/>
        <w:ind w:left="633" w:hanging="633"/>
      </w:pPr>
      <w:r>
        <w:rPr>
          <w:rFonts w:hint="eastAsia"/>
        </w:rPr>
        <w:t>說明：</w:t>
      </w:r>
    </w:p>
    <w:p w14:paraId="7CF2BB41" w14:textId="77777777" w:rsidR="00747C53" w:rsidRDefault="00747C53" w:rsidP="00747C53">
      <w:pPr>
        <w:pStyle w:val="afffff0"/>
        <w:spacing w:line="380" w:lineRule="exact"/>
        <w:ind w:left="633" w:hanging="422"/>
      </w:pPr>
      <w:r>
        <w:rPr>
          <w:rFonts w:hint="eastAsia"/>
        </w:rPr>
        <w:t>一、現臺灣備援電力系統多使用柴油發電機，集合式住宅備援電力系統也皆使用柴油發電機，柴油發電機若無定期依規維護保養易造成火災及公共安全巨大疑慮。</w:t>
      </w:r>
    </w:p>
    <w:p w14:paraId="0706AB05" w14:textId="77777777" w:rsidR="00747C53" w:rsidRDefault="00747C53" w:rsidP="00747C53">
      <w:pPr>
        <w:pStyle w:val="afffff0"/>
        <w:spacing w:line="380" w:lineRule="exact"/>
        <w:ind w:left="633" w:hanging="422"/>
      </w:pPr>
      <w:r>
        <w:rPr>
          <w:rFonts w:hint="eastAsia"/>
        </w:rPr>
        <w:t>二、抽水站備援電力系統皆多使用柴油發電機，當水災來襲柴油發電機被水淹沒即喪失功能；另水患來臨時交通受阻，柴油運輸也將面臨相當大的困難。</w:t>
      </w:r>
    </w:p>
    <w:p w14:paraId="25DBA2C7" w14:textId="77777777" w:rsidR="00747C53" w:rsidRDefault="00747C53" w:rsidP="00747C53">
      <w:pPr>
        <w:pStyle w:val="afffff0"/>
        <w:spacing w:line="380" w:lineRule="exact"/>
        <w:ind w:left="633" w:hanging="422"/>
      </w:pPr>
      <w:r>
        <w:rPr>
          <w:rFonts w:hint="eastAsia"/>
        </w:rPr>
        <w:t>三、水產養殖皆以柴油發電機做備援電力系統，在颱風期間無預警停電時，能維持水產生物氧氣之供應。但淹水發生時柴油發電機被水淹沒即喪失功能，另淹水時柴油補給也將遇到相當程度困難，進而導致水產養殖氧氣供應中斷，造成養殖戶大量損失。</w:t>
      </w:r>
    </w:p>
    <w:p w14:paraId="76007C77" w14:textId="77777777" w:rsidR="00747C53" w:rsidRDefault="00747C53" w:rsidP="00747C53">
      <w:pPr>
        <w:pStyle w:val="afffff0"/>
        <w:spacing w:line="380" w:lineRule="exact"/>
        <w:ind w:left="633" w:hanging="422"/>
      </w:pPr>
      <w:r>
        <w:rPr>
          <w:rFonts w:hint="eastAsia"/>
        </w:rPr>
        <w:t>四、未來應建立「備援電力媒合平台」，統整住宅、水產養殖及關鍵基礎設施之備援電力，依各單位需求規劃備援電力方案，以利災防及復電，更能防止火災發生，另在強風豪雨來襲前人民也能做好準備，減少台電工班復電壓力，分流不同需求讓人民得到協助災後重建家園。</w:t>
      </w:r>
    </w:p>
    <w:p w14:paraId="0BB3C8B6" w14:textId="77777777" w:rsidR="00747C53" w:rsidRDefault="00747C53" w:rsidP="00747C53">
      <w:pPr>
        <w:pStyle w:val="afffff0"/>
        <w:spacing w:line="380" w:lineRule="exact"/>
        <w:ind w:left="633" w:hanging="422"/>
      </w:pPr>
      <w:r>
        <w:rPr>
          <w:rFonts w:hint="eastAsia"/>
        </w:rPr>
        <w:t>五、爰此，建請行政院評估集合式住宅建立安全性較高的現代儲能系統做備援方案，並訂定設於一樓及定期維護保養規範之可行性。</w:t>
      </w:r>
    </w:p>
    <w:p w14:paraId="0B279BC1" w14:textId="77777777" w:rsidR="00747C53" w:rsidRDefault="00747C53" w:rsidP="00747C53">
      <w:pPr>
        <w:pStyle w:val="afffff0"/>
        <w:spacing w:line="380" w:lineRule="exact"/>
        <w:ind w:left="633" w:hanging="422"/>
      </w:pPr>
      <w:r>
        <w:rPr>
          <w:rFonts w:hint="eastAsia"/>
        </w:rPr>
        <w:t>六、爰此，建請行政院評估建立「備援電力媒合平台」統整與分流住宅、水產養殖及關鍵基礎設施備援電力系統方案及各方案災害應變措施之可行性。</w:t>
      </w:r>
    </w:p>
    <w:p w14:paraId="098EDFFB" w14:textId="77777777" w:rsidR="00747C53" w:rsidRPr="003E6404" w:rsidRDefault="00747C53" w:rsidP="00747C53">
      <w:pPr>
        <w:pStyle w:val="afb"/>
        <w:spacing w:beforeLines="100" w:before="335" w:line="420" w:lineRule="exact"/>
        <w:ind w:leftChars="0" w:left="855" w:hanging="855"/>
      </w:pPr>
      <w:r>
        <w:rPr>
          <w:rFonts w:hint="eastAsia"/>
        </w:rPr>
        <w:t>（三）</w:t>
      </w:r>
      <w:r w:rsidRPr="003E6404">
        <w:rPr>
          <w:rFonts w:hint="eastAsia"/>
        </w:rPr>
        <w:t>本院鍾委員佳濱，鑑於颱風山陀兒裹帶豪雨，為全臺帶來大量損失，台灣電力公司指出截至本月</w:t>
      </w:r>
      <w:r w:rsidRPr="003E6404">
        <w:rPr>
          <w:rFonts w:hint="eastAsia"/>
        </w:rPr>
        <w:t>4</w:t>
      </w:r>
      <w:r w:rsidRPr="003E6404">
        <w:rPr>
          <w:rFonts w:hint="eastAsia"/>
        </w:rPr>
        <w:t>日中午</w:t>
      </w:r>
      <w:r w:rsidRPr="003E6404">
        <w:rPr>
          <w:rFonts w:hint="eastAsia"/>
        </w:rPr>
        <w:t>12</w:t>
      </w:r>
      <w:r w:rsidRPr="003E6404">
        <w:rPr>
          <w:rFonts w:hint="eastAsia"/>
        </w:rPr>
        <w:t>時，全臺曾停電戶數約</w:t>
      </w:r>
      <w:r w:rsidRPr="003E6404">
        <w:rPr>
          <w:rFonts w:hint="eastAsia"/>
        </w:rPr>
        <w:t>40</w:t>
      </w:r>
      <w:r w:rsidRPr="003E6404">
        <w:rPr>
          <w:rFonts w:hint="eastAsia"/>
        </w:rPr>
        <w:t>萬戶。近年集合式住宅之台灣電力公司配電室設置於地下樓層，此種建築設計易產生火災及公共安全疑慮，另復電所需時間不短，特向行政院提出質詢。</w:t>
      </w:r>
    </w:p>
    <w:p w14:paraId="493361BF" w14:textId="77777777" w:rsidR="00747C53" w:rsidRPr="00111899" w:rsidRDefault="00747C53" w:rsidP="00747C53">
      <w:pPr>
        <w:pStyle w:val="a4"/>
        <w:spacing w:line="240" w:lineRule="auto"/>
        <w:ind w:left="633" w:hanging="633"/>
      </w:pPr>
    </w:p>
    <w:p w14:paraId="5339B3C1" w14:textId="77777777" w:rsidR="00747C53" w:rsidRDefault="00747C53" w:rsidP="00747C53">
      <w:pPr>
        <w:pStyle w:val="a4"/>
        <w:spacing w:line="380" w:lineRule="exact"/>
        <w:ind w:left="633" w:hanging="633"/>
      </w:pPr>
      <w:r>
        <w:rPr>
          <w:rFonts w:hint="eastAsia"/>
        </w:rPr>
        <w:t>說明：</w:t>
      </w:r>
    </w:p>
    <w:p w14:paraId="67B1C502" w14:textId="77777777" w:rsidR="00747C53" w:rsidRDefault="00747C53" w:rsidP="00747C53">
      <w:pPr>
        <w:pStyle w:val="afffff0"/>
        <w:spacing w:line="380" w:lineRule="exact"/>
        <w:ind w:left="633" w:hanging="422"/>
      </w:pPr>
      <w:r>
        <w:rPr>
          <w:rFonts w:hint="eastAsia"/>
        </w:rPr>
        <w:t>一、據台灣電力公司現行《新增設用戶配電場所設置規範》第六條　配電場所設置地點應符合下列條件：一、配電場所以設置於面臨道路之地面一樓或空地為原則，設置於地面一樓或空地有困難者，得設置於其他樓層，十六樓以上之建築物宜分設於地面及適當之中間樓層。</w:t>
      </w:r>
    </w:p>
    <w:p w14:paraId="29DFCC06" w14:textId="77777777" w:rsidR="00747C53" w:rsidRDefault="00747C53" w:rsidP="00747C53">
      <w:pPr>
        <w:pStyle w:val="afffff0"/>
        <w:spacing w:line="380" w:lineRule="exact"/>
        <w:ind w:left="633" w:hanging="422"/>
      </w:pPr>
      <w:r>
        <w:rPr>
          <w:rFonts w:hint="eastAsia"/>
        </w:rPr>
        <w:lastRenderedPageBreak/>
        <w:t>二、台灣電力公司受電室設置於地下樓層發生淹水時，須待水災過後並將地下樓層積水抽除才得以復電；並發生火災時悶燒致高溫及大量濃煙，且若受電室設置於地下樓層更導致救災困難。</w:t>
      </w:r>
    </w:p>
    <w:p w14:paraId="09A2C40C" w14:textId="77777777" w:rsidR="00747C53" w:rsidRDefault="00747C53" w:rsidP="00747C53">
      <w:pPr>
        <w:pStyle w:val="afffff0"/>
        <w:spacing w:line="380" w:lineRule="exact"/>
        <w:ind w:left="633" w:hanging="422"/>
      </w:pPr>
      <w:r>
        <w:rPr>
          <w:rFonts w:hint="eastAsia"/>
        </w:rPr>
        <w:t>三、爰此，建請行政院評估訂定法規以規範將台灣電力公司配電室設置於一樓之可行性。</w:t>
      </w:r>
    </w:p>
    <w:p w14:paraId="4447A6DF" w14:textId="77777777" w:rsidR="00747C53" w:rsidRDefault="00747C53" w:rsidP="00747C53">
      <w:pPr>
        <w:pStyle w:val="afffff0"/>
        <w:spacing w:line="380" w:lineRule="exact"/>
        <w:ind w:left="633" w:hanging="422"/>
      </w:pPr>
      <w:r>
        <w:rPr>
          <w:rFonts w:hint="eastAsia"/>
        </w:rPr>
        <w:t>四、爰此，建請行政院評估在不影響行人通行空間的前提下，將台灣電力公司配電室設置於集合住宅基地範圍內一樓退縮公共開放空間之可行性。</w:t>
      </w:r>
    </w:p>
    <w:p w14:paraId="0BD9A0CA" w14:textId="77777777" w:rsidR="00747C53" w:rsidRPr="00441B24" w:rsidRDefault="00747C53" w:rsidP="00747C53">
      <w:pPr>
        <w:pStyle w:val="afffff0"/>
        <w:spacing w:line="380" w:lineRule="exact"/>
        <w:ind w:left="633" w:hanging="422"/>
      </w:pPr>
    </w:p>
    <w:sectPr w:rsidR="00747C53" w:rsidRPr="00441B24" w:rsidSect="00BD357B">
      <w:headerReference w:type="even" r:id="rId8"/>
      <w:headerReference w:type="default" r:id="rId9"/>
      <w:footerReference w:type="even" r:id="rId10"/>
      <w:footerReference w:type="default" r:id="rId11"/>
      <w:type w:val="continuous"/>
      <w:pgSz w:w="11906" w:h="16838" w:code="9"/>
      <w:pgMar w:top="1985" w:right="1418" w:bottom="1418" w:left="1418" w:header="1418" w:footer="851" w:gutter="0"/>
      <w:pgNumType w:start="186"/>
      <w:cols w:space="720"/>
      <w:docGrid w:type="linesAndChars" w:linePitch="335" w:charSpace="2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8A4AB" w14:textId="77777777" w:rsidR="00781597" w:rsidRDefault="00781597">
      <w:r>
        <w:separator/>
      </w:r>
    </w:p>
  </w:endnote>
  <w:endnote w:type="continuationSeparator" w:id="0">
    <w:p w14:paraId="7DEA1748" w14:textId="77777777" w:rsidR="00781597" w:rsidRDefault="00781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9CF4A" w14:textId="3AB7AD66" w:rsidR="00BD357B" w:rsidRDefault="00BD357B">
    <w:pPr>
      <w:pStyle w:val="afff9"/>
    </w:pPr>
    <w:r>
      <mc:AlternateContent>
        <mc:Choice Requires="wps">
          <w:drawing>
            <wp:anchor distT="0" distB="0" distL="114300" distR="114300" simplePos="0" relativeHeight="251659264" behindDoc="0" locked="0" layoutInCell="1" allowOverlap="1" wp14:anchorId="3383E4D1" wp14:editId="2E6DEDB7">
              <wp:simplePos x="0" y="0"/>
              <wp:positionH relativeFrom="column">
                <wp:posOffset>-317</wp:posOffset>
              </wp:positionH>
              <wp:positionV relativeFrom="paragraph">
                <wp:posOffset>-137795</wp:posOffset>
              </wp:positionV>
              <wp:extent cx="5760719" cy="400050"/>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70AFA01" w14:textId="5C930961" w:rsidR="00BD357B" w:rsidRPr="00BD357B" w:rsidRDefault="00BD357B" w:rsidP="00BD357B">
                          <w:pPr>
                            <w:spacing w:line="210" w:lineRule="exact"/>
                            <w:jc w:val="center"/>
                          </w:pPr>
                          <w:r>
                            <w:fldChar w:fldCharType="begin"/>
                          </w:r>
                          <w:r>
                            <w:instrText xml:space="preserve"> PAGE  \* MERGEFORMAT </w:instrText>
                          </w:r>
                          <w:r>
                            <w:fldChar w:fldCharType="separate"/>
                          </w:r>
                          <w:r>
                            <w:t>187</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383E4D1" id="_x0000_t202" coordsize="21600,21600" o:spt="202" path="m,l,21600r21600,l21600,xe">
              <v:stroke joinstyle="miter"/>
              <v:path gradientshapeok="t" o:connecttype="rect"/>
            </v:shapetype>
            <v:shape id="文字方塊 1" o:spid="_x0000_s1028" type="#_x0000_t202" style="position:absolute;left:0;text-align:left;margin-left:0;margin-top:-10.85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roLRgIAAFwEAAAOAAAAZHJzL2Uyb0RvYy54bWysVEtu2zAQ3RfoHQjua8muP41gOXATuChg&#10;JAGcImuaoiwBIoclaUvuBQr0AMm6B+gBeqDkHB1SsuOmXRXdUEPOcGbee0NNzxtZkZ0wtgSV0n4v&#10;pkQoDlmpNin9dLt4844S65jKWAVKpHQvLD2fvX41rXUiBlBAlQlDMImySa1TWjinkyiyvBCS2R5o&#10;odCZg5HM4dZsosywGrPLKhrE8TiqwWTaABfW4ull66SzkD/PBXfXeW6FI1VKsTcXVhPWtV+j2ZQl&#10;G8N0UfKuDfYPXUhWKix6THXJHCNbU/6RSpbcgIXc9TjICPK85CJgQDT9+AWaVcG0CFiQHKuPNNn/&#10;l5Zf7W4MKTPUjhLFJEr0dP/18cfD0/3Px+/fSN8zVGubYOBKY6hr3kPjo7tzi4ceeJMb6b8IiaAf&#10;ud4f+RWNIxwPR5NxPOmfUcLRN4zjeBQEiJ5va2PdBwGSeCOlBvULtLLd0jqsiKGHEF9MwaKsqqBh&#10;pUid0vFbTPmbB29UCi96DG2v3nLNugmoBwcca8j2CM9AOyJW80WJPSyZdTfM4EwgIpxzd41LXgHW&#10;gs6ipADz5W/nPh6lQi8lNc5YSu3nLTOCkuqjQhHP+sOhH8qwGY4mA9yYU8/61KO28gJwjFEo7C6Y&#10;Pt5VBzM3IO/wOcx9VXQxxbF2St3BvHDt5ONz4mI+D0E4hpq5pVpp7lN77jzDt80dM7qTwaGAV3CY&#10;Rpa8UKONbVmfbx3kZZDK89yy2tGPIxwU7J6bfyOn+xD1/FOY/QIAAP//AwBQSwMEFAAGAAgAAAAh&#10;AAmR2pXgAAAABwEAAA8AAABkcnMvZG93bnJldi54bWxMj81OwzAQhO9IvIO1SNxaJ+GnJcSpqkgV&#10;EoJDSy/cNvE2ibDXIXbbwNNjTnAczWjmm2I1WSNONPresYJ0noAgbpzuuVWwf9vMliB8QNZoHJOC&#10;L/KwKi8vCsy1O/OWTrvQiljCPkcFXQhDLqVvOrLo524gjt7BjRZDlGMr9YjnWG6NzJLkXlrsOS50&#10;OFDVUfOxO1oFz9XmFbd1Zpffpnp6OayHz/37nVLXV9P6EUSgKfyF4Rc/okMZmWp3ZO2FURCPBAWz&#10;LF2AiPZDsshA1Apu0xuQZSH/85c/AAAA//8DAFBLAQItABQABgAIAAAAIQC2gziS/gAAAOEBAAAT&#10;AAAAAAAAAAAAAAAAAAAAAABbQ29udGVudF9UeXBlc10ueG1sUEsBAi0AFAAGAAgAAAAhADj9If/W&#10;AAAAlAEAAAsAAAAAAAAAAAAAAAAALwEAAF9yZWxzLy5yZWxzUEsBAi0AFAAGAAgAAAAhADWSugtG&#10;AgAAXAQAAA4AAAAAAAAAAAAAAAAALgIAAGRycy9lMm9Eb2MueG1sUEsBAi0AFAAGAAgAAAAhAAmR&#10;2pXgAAAABwEAAA8AAAAAAAAAAAAAAAAAoAQAAGRycy9kb3ducmV2LnhtbFBLBQYAAAAABAAEAPMA&#10;AACtBQAAAAA=&#10;" filled="f" stroked="f" strokeweight=".5pt">
              <v:fill o:detectmouseclick="t"/>
              <v:textbox>
                <w:txbxContent>
                  <w:p w14:paraId="370AFA01" w14:textId="5C930961" w:rsidR="00BD357B" w:rsidRPr="00BD357B" w:rsidRDefault="00BD357B" w:rsidP="00BD357B">
                    <w:pPr>
                      <w:spacing w:line="210" w:lineRule="exact"/>
                      <w:jc w:val="center"/>
                    </w:pPr>
                    <w:r>
                      <w:fldChar w:fldCharType="begin"/>
                    </w:r>
                    <w:r>
                      <w:instrText xml:space="preserve"> PAGE  \* MERGEFORMAT </w:instrText>
                    </w:r>
                    <w:r>
                      <w:fldChar w:fldCharType="separate"/>
                    </w:r>
                    <w:r>
                      <w:t>187</w:t>
                    </w:r>
                    <w: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35480" w14:textId="3E984C04" w:rsidR="00BD357B" w:rsidRDefault="00BD357B">
    <w:pPr>
      <w:pStyle w:val="afff9"/>
    </w:pPr>
    <w:r>
      <mc:AlternateContent>
        <mc:Choice Requires="wps">
          <w:drawing>
            <wp:anchor distT="0" distB="0" distL="114300" distR="114300" simplePos="0" relativeHeight="251661312" behindDoc="0" locked="0" layoutInCell="1" allowOverlap="1" wp14:anchorId="73A8FDC2" wp14:editId="0EB2838E">
              <wp:simplePos x="0" y="0"/>
              <wp:positionH relativeFrom="column">
                <wp:posOffset>-317</wp:posOffset>
              </wp:positionH>
              <wp:positionV relativeFrom="paragraph">
                <wp:posOffset>-137795</wp:posOffset>
              </wp:positionV>
              <wp:extent cx="5760719" cy="400050"/>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77CD09E" w14:textId="5F51E436" w:rsidR="00BD357B" w:rsidRPr="00BD357B" w:rsidRDefault="00BD357B" w:rsidP="00BD357B">
                          <w:pPr>
                            <w:spacing w:line="210" w:lineRule="exact"/>
                            <w:jc w:val="center"/>
                          </w:pPr>
                          <w:r>
                            <w:fldChar w:fldCharType="begin"/>
                          </w:r>
                          <w:r>
                            <w:instrText xml:space="preserve"> PAGE  \* MERGEFORMAT </w:instrText>
                          </w:r>
                          <w:r>
                            <w:fldChar w:fldCharType="separate"/>
                          </w:r>
                          <w:r>
                            <w:t>188</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3A8FDC2" id="_x0000_t202" coordsize="21600,21600" o:spt="202" path="m,l,21600r21600,l21600,xe">
              <v:stroke joinstyle="miter"/>
              <v:path gradientshapeok="t" o:connecttype="rect"/>
            </v:shapetype>
            <v:shape id="文字方塊 3" o:spid="_x0000_s1029" type="#_x0000_t202" style="position:absolute;left:0;text-align:left;margin-left:0;margin-top:-10.85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1SRgIAAFwEAAAOAAAAZHJzL2Uyb0RvYy54bWysVEtu2zAQ3RfoHQjua8nfNILlwE3gooCR&#10;BHCKrGmKsgRQHJakLbkXKNADpOseoAfogZJzdEjJjpt2VXRDDTnD4bz3ZjS9aCpJdsLYElRK+72Y&#10;EqE4ZKXapPTj3eLNW0qsYypjEpRI6V5YejF7/Wpa60QMoACZCUMwibJJrVNaOKeTKLK8EBWzPdBC&#10;oTMHUzGHW7OJMsNqzF7JaBDHk6gGk2kDXFiLp1etk85C/jwX3N3kuRWOyJRibS6sJqxrv0azKUs2&#10;humi5F0Z7B+qqFip8NFjqivmGNma8o9UVckNWMhdj0MVQZ6XXAQMiKYfv0CzKpgWAQuSY/WRJvv/&#10;0vLr3a0hZZbSISWKVSjR08OXxx/fnh5+Pn7/SoaeoVrbBANXGkNd8w4aVPpwbvHQA29yU/kvQiLo&#10;R673R35F4wjHw/HZJD7rn1PC0TeK43gcBIieb2tj3XsBFfFGSg3qF2hlu6V1WAmGHkL8YwoWpZRB&#10;Q6lIndLJEFP+5sEbUuFFj6Gt1VuuWTcd6g7fGrI9wjPQtojVfFFiDUtm3S0z2BOICPvc3eCSS8C3&#10;oLMoKcB8/tu5j0ep0EtJjT2WUvtpy4ygRH5QKOJ5fzTyTRk2o/HZADfm1LM+9ahtdQnYxn2cKM2D&#10;6eOdPJi5geoex2HuX0UXUxzfTqk7mJeu7XwcJy7m8xCEbaiZW6qV5j61584zfNfcM6M7GRwKeA2H&#10;bmTJCzXa2Jb1+dZBXgapPM8tqx392MJBwW7c/Iyc7kPU809h9gsAAP//AwBQSwMEFAAGAAgAAAAh&#10;AAmR2pXgAAAABwEAAA8AAABkcnMvZG93bnJldi54bWxMj81OwzAQhO9IvIO1SNxaJ+GnJcSpqkgV&#10;EoJDSy/cNvE2ibDXIXbbwNNjTnAczWjmm2I1WSNONPresYJ0noAgbpzuuVWwf9vMliB8QNZoHJOC&#10;L/KwKi8vCsy1O/OWTrvQiljCPkcFXQhDLqVvOrLo524gjt7BjRZDlGMr9YjnWG6NzJLkXlrsOS50&#10;OFDVUfOxO1oFz9XmFbd1Zpffpnp6OayHz/37nVLXV9P6EUSgKfyF4Rc/okMZmWp3ZO2FURCPBAWz&#10;LF2AiPZDsshA1Apu0xuQZSH/85c/AAAA//8DAFBLAQItABQABgAIAAAAIQC2gziS/gAAAOEBAAAT&#10;AAAAAAAAAAAAAAAAAAAAAABbQ29udGVudF9UeXBlc10ueG1sUEsBAi0AFAAGAAgAAAAhADj9If/W&#10;AAAAlAEAAAsAAAAAAAAAAAAAAAAALwEAAF9yZWxzLy5yZWxzUEsBAi0AFAAGAAgAAAAhAD6mfVJG&#10;AgAAXAQAAA4AAAAAAAAAAAAAAAAALgIAAGRycy9lMm9Eb2MueG1sUEsBAi0AFAAGAAgAAAAhAAmR&#10;2pXgAAAABwEAAA8AAAAAAAAAAAAAAAAAoAQAAGRycy9kb3ducmV2LnhtbFBLBQYAAAAABAAEAPMA&#10;AACtBQAAAAA=&#10;" filled="f" stroked="f" strokeweight=".5pt">
              <v:fill o:detectmouseclick="t"/>
              <v:textbox>
                <w:txbxContent>
                  <w:p w14:paraId="477CD09E" w14:textId="5F51E436" w:rsidR="00BD357B" w:rsidRPr="00BD357B" w:rsidRDefault="00BD357B" w:rsidP="00BD357B">
                    <w:pPr>
                      <w:spacing w:line="210" w:lineRule="exact"/>
                      <w:jc w:val="center"/>
                    </w:pPr>
                    <w:r>
                      <w:fldChar w:fldCharType="begin"/>
                    </w:r>
                    <w:r>
                      <w:instrText xml:space="preserve"> PAGE  \* MERGEFORMAT </w:instrText>
                    </w:r>
                    <w:r>
                      <w:fldChar w:fldCharType="separate"/>
                    </w:r>
                    <w:r>
                      <w:t>188</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C9098" w14:textId="77777777" w:rsidR="00781597" w:rsidRDefault="00781597">
      <w:r>
        <w:separator/>
      </w:r>
    </w:p>
  </w:footnote>
  <w:footnote w:type="continuationSeparator" w:id="0">
    <w:p w14:paraId="07BE5CA9" w14:textId="77777777" w:rsidR="00781597" w:rsidRDefault="007815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727E7" w14:textId="79D44D09" w:rsidR="00BD357B" w:rsidRDefault="00BD357B">
    <w:pPr>
      <w:pStyle w:val="afffa"/>
    </w:pPr>
    <w:r>
      <mc:AlternateContent>
        <mc:Choice Requires="wps">
          <w:drawing>
            <wp:anchor distT="0" distB="0" distL="114300" distR="114300" simplePos="0" relativeHeight="251660288" behindDoc="0" locked="0" layoutInCell="1" allowOverlap="1" wp14:anchorId="609C5684" wp14:editId="57A9E087">
              <wp:simplePos x="0" y="0"/>
              <wp:positionH relativeFrom="column">
                <wp:posOffset>-317</wp:posOffset>
              </wp:positionH>
              <wp:positionV relativeFrom="paragraph">
                <wp:posOffset>-138430</wp:posOffset>
              </wp:positionV>
              <wp:extent cx="5760719" cy="381000"/>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FC3B4CE" w14:textId="72198255" w:rsidR="00BD357B" w:rsidRPr="00BD357B" w:rsidRDefault="00BD357B" w:rsidP="00BD357B">
                          <w:pPr>
                            <w:spacing w:line="294" w:lineRule="exact"/>
                            <w:jc w:val="left"/>
                          </w:pPr>
                          <w:r>
                            <w:rPr>
                              <w:rFonts w:hint="eastAsia"/>
                            </w:rPr>
                            <w:t>立法院公報　第</w:t>
                          </w:r>
                          <w:r>
                            <w:rPr>
                              <w:rFonts w:hint="eastAsia"/>
                            </w:rPr>
                            <w:t>113</w:t>
                          </w:r>
                          <w:r>
                            <w:rPr>
                              <w:rFonts w:hint="eastAsia"/>
                            </w:rPr>
                            <w:t>卷　第</w:t>
                          </w:r>
                          <w:r>
                            <w:rPr>
                              <w:rFonts w:hint="eastAsia"/>
                            </w:rPr>
                            <w:t>78</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09C5684" id="_x0000_t202" coordsize="21600,21600" o:spt="202" path="m,l,21600r21600,l21600,xe">
              <v:stroke joinstyle="miter"/>
              <v:path gradientshapeok="t" o:connecttype="rect"/>
            </v:shapetype>
            <v:shape id="文字方塊 2" o:spid="_x0000_s1026" type="#_x0000_t202" style="position:absolute;left:0;text-align:left;margin-left:0;margin-top:-10.9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qMRgIAAFUEAAAOAAAAZHJzL2Uyb0RvYy54bWysVEtu2zAQ3RfoHQjua0mOP4lgOXATuChg&#10;JAGcImuaIm0BEoclaUvuBQr0AOm6B+gBeqDkHB1SsmOkXRXdUMOZ4Xzem9HksqlKshPGFqAymvRi&#10;SoTikBdqndFP9/N355RYx1TOSlAio3th6eX07ZtJrVPRhw2UuTAEgyib1jqjG+d0GkWWb0TFbA+0&#10;UGiUYCrm8GrWUW5YjdGrMurH8SiqweTaABfWova6NdJpiC+l4O5WSiscKTOKtblwmnCu/BlNJyxd&#10;G6Y3Be/KYP9QRcUKhUmPoa6ZY2Rrij9CVQU3YEG6HocqAikLLkIP2E0Sv+pmuWFahF4QHKuPMNn/&#10;F5bf7O4MKfKM9ilRrEKKnh+/Pv38/vz46+nHN9L3CNXapui41OjqmvfQINMHvUWlb7yRpvJfbImg&#10;HbHeH/EVjSMclcPxKB4nF5RwtJ2dJ3EcCIheXmtj3QcBFfFCRg3yF2Blu4V1WAm6Hlx8MgXzoiwD&#10;h6UidUZHZ8M4PDha8EWp8KHvoa3VS65ZNV1jK8j32JeBdjas5vMCky+YdXfM4DBgKzjg7hYPWQIm&#10;gU6iZAPmy9/03h85QislNQ5XRu3nLTOCkvKjQvYuksHAT2O4DIbjPl7MqWV1alHb6gpwfhNcJc2D&#10;6P1deRClgeoB92Dms6KJKY65M+oO4pVrRx73iIvZLDjh/GnmFmqpuQ/t4fTQ3jcPzOgOf4fM3cBh&#10;DFn6iobWtyVitnUgi8CRB7hFtcMdZzdQ1+2ZX47Te/B6+RtMfwMAAP//AwBQSwMEFAAGAAgAAAAh&#10;ALroc//fAAAABwEAAA8AAABkcnMvZG93bnJldi54bWxMj8FOwzAQRO9I/IO1SNxap0ZASLOpqkgV&#10;EoJDSy/cNvE2iRrbIXbbwNdjTnAczWjmTb6aTC/OPPrOWYTFPAHBtna6sw3C/n0zS0H4QFZT7ywj&#10;fLGHVXF9lVOm3cVu+bwLjYgl1meE0IYwZFL6umVDfu4GttE7uNFQiHJspB7pEstNL1WSPEhDnY0L&#10;LQ1ctlwfdyeD8FJu3mhbKZN+9+Xz62E9fO4/7hFvb6b1EkTgKfyF4Rc/okMRmSp3stqLHiEeCQgz&#10;tYgHov2UPCoQFcJdqkAWufzPX/wAAAD//wMAUEsBAi0AFAAGAAgAAAAhALaDOJL+AAAA4QEAABMA&#10;AAAAAAAAAAAAAAAAAAAAAFtDb250ZW50X1R5cGVzXS54bWxQSwECLQAUAAYACAAAACEAOP0h/9YA&#10;AACUAQAACwAAAAAAAAAAAAAAAAAvAQAAX3JlbHMvLnJlbHNQSwECLQAUAAYACAAAACEAP97ajEYC&#10;AABVBAAADgAAAAAAAAAAAAAAAAAuAgAAZHJzL2Uyb0RvYy54bWxQSwECLQAUAAYACAAAACEAuuhz&#10;/98AAAAHAQAADwAAAAAAAAAAAAAAAACgBAAAZHJzL2Rvd25yZXYueG1sUEsFBgAAAAAEAAQA8wAA&#10;AKwFAAAAAA==&#10;" filled="f" stroked="f" strokeweight=".5pt">
              <v:fill o:detectmouseclick="t"/>
              <v:textbox>
                <w:txbxContent>
                  <w:p w14:paraId="1FC3B4CE" w14:textId="72198255" w:rsidR="00BD357B" w:rsidRPr="00BD357B" w:rsidRDefault="00BD357B" w:rsidP="00BD357B">
                    <w:pPr>
                      <w:spacing w:line="294" w:lineRule="exact"/>
                      <w:jc w:val="left"/>
                    </w:pPr>
                    <w:r>
                      <w:rPr>
                        <w:rFonts w:hint="eastAsia"/>
                      </w:rPr>
                      <w:t>立法院公報　第</w:t>
                    </w:r>
                    <w:r>
                      <w:rPr>
                        <w:rFonts w:hint="eastAsia"/>
                      </w:rPr>
                      <w:t>113</w:t>
                    </w:r>
                    <w:r>
                      <w:rPr>
                        <w:rFonts w:hint="eastAsia"/>
                      </w:rPr>
                      <w:t>卷　第</w:t>
                    </w:r>
                    <w:r>
                      <w:rPr>
                        <w:rFonts w:hint="eastAsia"/>
                      </w:rPr>
                      <w:t>78</w:t>
                    </w:r>
                    <w:r>
                      <w:rPr>
                        <w:rFonts w:hint="eastAsia"/>
                      </w:rPr>
                      <w:t>期　院會紀錄</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1302F" w14:textId="7816F48A" w:rsidR="00BD357B" w:rsidRDefault="00BD357B">
    <w:pPr>
      <w:pStyle w:val="afffa"/>
    </w:pPr>
    <w:r>
      <mc:AlternateContent>
        <mc:Choice Requires="wps">
          <w:drawing>
            <wp:anchor distT="0" distB="0" distL="114300" distR="114300" simplePos="0" relativeHeight="251662336" behindDoc="0" locked="0" layoutInCell="1" allowOverlap="1" wp14:anchorId="23B0599B" wp14:editId="746D5678">
              <wp:simplePos x="0" y="0"/>
              <wp:positionH relativeFrom="column">
                <wp:posOffset>-317</wp:posOffset>
              </wp:positionH>
              <wp:positionV relativeFrom="paragraph">
                <wp:posOffset>-138430</wp:posOffset>
              </wp:positionV>
              <wp:extent cx="5760719" cy="381000"/>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DBE6AF2" w14:textId="0452B819" w:rsidR="00BD357B" w:rsidRPr="00BD357B" w:rsidRDefault="00BD357B" w:rsidP="00BD357B">
                          <w:pPr>
                            <w:spacing w:line="294" w:lineRule="exact"/>
                            <w:jc w:val="right"/>
                          </w:pPr>
                          <w:r>
                            <w:rPr>
                              <w:rFonts w:hint="eastAsia"/>
                            </w:rPr>
                            <w:t>立法院公報　第</w:t>
                          </w:r>
                          <w:r>
                            <w:rPr>
                              <w:rFonts w:hint="eastAsia"/>
                            </w:rPr>
                            <w:t>113</w:t>
                          </w:r>
                          <w:r>
                            <w:rPr>
                              <w:rFonts w:hint="eastAsia"/>
                            </w:rPr>
                            <w:t>卷　第</w:t>
                          </w:r>
                          <w:r>
                            <w:rPr>
                              <w:rFonts w:hint="eastAsia"/>
                            </w:rPr>
                            <w:t>78</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3B0599B" id="_x0000_t202" coordsize="21600,21600" o:spt="202" path="m,l,21600r21600,l21600,xe">
              <v:stroke joinstyle="miter"/>
              <v:path gradientshapeok="t" o:connecttype="rect"/>
            </v:shapetype>
            <v:shape id="文字方塊 4" o:spid="_x0000_s1027" type="#_x0000_t202" style="position:absolute;left:0;text-align:left;margin-left:0;margin-top:-10.9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o3qSAIAAFwEAAAOAAAAZHJzL2Uyb0RvYy54bWysVEtu2zAQ3RfoHQjua0mOP4lgOXATuChg&#10;JAGcImuaoiwBFIclaUvuBQr0AOm6B+gBeqDkHB1StmOkXRXdUEPOcDjvvRlNLttakq0wtgKV0aQX&#10;UyIUh7xS64x+up+/O6fEOqZyJkGJjO6EpZfTt28mjU5FH0qQuTAEkyibNjqjpXM6jSLLS1Ez2wMt&#10;FDoLMDVzuDXrKDeswey1jPpxPIoaMLk2wIW1eHrdOek05C8Kwd1tUVjhiMwo1ubCasK68ms0nbB0&#10;bZguK74vg/1DFTWrFD56THXNHCMbU/2Rqq64AQuF63GoIyiKiouAAdEk8Ss0y5JpEbAgOVYfabL/&#10;Ly2/2d4ZUuUZHVCiWI0SPT9+ffr5/fnx19OPb2TgGWq0TTFwqTHUte+hRaUP5xYPPfC2MLX/IiSC&#10;fuR6d+RXtI5wPByOR/E4uaCEo+/sPInjIED0clsb6z4IqIk3MmpQv0Ar2y6sw0ow9BDiH1Mwr6QM&#10;GkpFmoyOzoZxuHD04A2p8KLH0NXqLdeu2oD6iGMF+Q7hGehaxGo+r7CGBbPujhnsCUSEfe5ucSkk&#10;4FuwtygpwXz527mPR6nQS0mDPZZR+3nDjKBEflQo4kUyGPimDJvBcNzHjTn1rE49alNfAbZxghOl&#10;eTB9vJMHszBQP+A4zPyr6GKK49sZdQfzynWdj+PExWwWgrANNXMLtdTcp/aseobv2wdm9F4GhwLe&#10;wKEbWfpKjS6202O2cVBUQSrPc8fqnn5s4aDgftz8jJzuQ9TLT2H6GwAA//8DAFBLAwQUAAYACAAA&#10;ACEAuuhz/98AAAAHAQAADwAAAGRycy9kb3ducmV2LnhtbEyPwU7DMBBE70j8g7VI3FqnRkBIs6mq&#10;SBUSgkNLL9w28TaJGtshdtvA12NOcBzNaOZNvppML848+s5ZhMU8AcG2drqzDcL+fTNLQfhAVlPv&#10;LCN8sYdVcX2VU6bdxW75vAuNiCXWZ4TQhjBkUvq6ZUN+7ga20Tu40VCIcmykHukSy00vVZI8SEOd&#10;jQstDVy2XB93J4PwUm7eaFspk3735fPrYT187j/uEW9vpvUSROAp/IXhFz+iQxGZKney2oseIR4J&#10;CDO1iAei/ZQ8KhAVwl2qQBa5/M9f/AAAAP//AwBQSwECLQAUAAYACAAAACEAtoM4kv4AAADhAQAA&#10;EwAAAAAAAAAAAAAAAAAAAAAAW0NvbnRlbnRfVHlwZXNdLnhtbFBLAQItABQABgAIAAAAIQA4/SH/&#10;1gAAAJQBAAALAAAAAAAAAAAAAAAAAC8BAABfcmVscy8ucmVsc1BLAQItABQABgAIAAAAIQC8Fo3q&#10;SAIAAFwEAAAOAAAAAAAAAAAAAAAAAC4CAABkcnMvZTJvRG9jLnhtbFBLAQItABQABgAIAAAAIQC6&#10;6HP/3wAAAAcBAAAPAAAAAAAAAAAAAAAAAKIEAABkcnMvZG93bnJldi54bWxQSwUGAAAAAAQABADz&#10;AAAArgUAAAAA&#10;" filled="f" stroked="f" strokeweight=".5pt">
              <v:fill o:detectmouseclick="t"/>
              <v:textbox>
                <w:txbxContent>
                  <w:p w14:paraId="6DBE6AF2" w14:textId="0452B819" w:rsidR="00BD357B" w:rsidRPr="00BD357B" w:rsidRDefault="00BD357B" w:rsidP="00BD357B">
                    <w:pPr>
                      <w:spacing w:line="294" w:lineRule="exact"/>
                      <w:jc w:val="right"/>
                    </w:pPr>
                    <w:r>
                      <w:rPr>
                        <w:rFonts w:hint="eastAsia"/>
                      </w:rPr>
                      <w:t>立法院公報　第</w:t>
                    </w:r>
                    <w:r>
                      <w:rPr>
                        <w:rFonts w:hint="eastAsia"/>
                      </w:rPr>
                      <w:t>113</w:t>
                    </w:r>
                    <w:r>
                      <w:rPr>
                        <w:rFonts w:hint="eastAsia"/>
                      </w:rPr>
                      <w:t>卷　第</w:t>
                    </w:r>
                    <w:r>
                      <w:rPr>
                        <w:rFonts w:hint="eastAsia"/>
                      </w:rPr>
                      <w:t>78</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D76"/>
    <w:rsid w:val="00021974"/>
    <w:rsid w:val="000322E4"/>
    <w:rsid w:val="00034179"/>
    <w:rsid w:val="0006260D"/>
    <w:rsid w:val="0007483B"/>
    <w:rsid w:val="00092EFA"/>
    <w:rsid w:val="000B190B"/>
    <w:rsid w:val="000C6344"/>
    <w:rsid w:val="000D2076"/>
    <w:rsid w:val="000E3372"/>
    <w:rsid w:val="000F48AA"/>
    <w:rsid w:val="001132D3"/>
    <w:rsid w:val="001166AB"/>
    <w:rsid w:val="00123301"/>
    <w:rsid w:val="00130626"/>
    <w:rsid w:val="001346DF"/>
    <w:rsid w:val="00152E55"/>
    <w:rsid w:val="00174DC3"/>
    <w:rsid w:val="001776A7"/>
    <w:rsid w:val="00192966"/>
    <w:rsid w:val="001A0A32"/>
    <w:rsid w:val="001A5138"/>
    <w:rsid w:val="001A7C69"/>
    <w:rsid w:val="001E1A19"/>
    <w:rsid w:val="001E385A"/>
    <w:rsid w:val="00235073"/>
    <w:rsid w:val="00235BD9"/>
    <w:rsid w:val="00240FA3"/>
    <w:rsid w:val="0024333A"/>
    <w:rsid w:val="00243679"/>
    <w:rsid w:val="00252A12"/>
    <w:rsid w:val="00286197"/>
    <w:rsid w:val="00293B0A"/>
    <w:rsid w:val="002A04DC"/>
    <w:rsid w:val="002A509E"/>
    <w:rsid w:val="002C335B"/>
    <w:rsid w:val="00355CB3"/>
    <w:rsid w:val="00360394"/>
    <w:rsid w:val="00362E94"/>
    <w:rsid w:val="00372E8D"/>
    <w:rsid w:val="00387860"/>
    <w:rsid w:val="003A00D7"/>
    <w:rsid w:val="003B341B"/>
    <w:rsid w:val="004034F0"/>
    <w:rsid w:val="004047CB"/>
    <w:rsid w:val="004126B4"/>
    <w:rsid w:val="0042704C"/>
    <w:rsid w:val="0044045C"/>
    <w:rsid w:val="00441B24"/>
    <w:rsid w:val="00443AB2"/>
    <w:rsid w:val="00453F8A"/>
    <w:rsid w:val="00473B4E"/>
    <w:rsid w:val="00485C17"/>
    <w:rsid w:val="004D78BA"/>
    <w:rsid w:val="004E74DF"/>
    <w:rsid w:val="00542984"/>
    <w:rsid w:val="00552448"/>
    <w:rsid w:val="005B1DB0"/>
    <w:rsid w:val="00620D76"/>
    <w:rsid w:val="00632430"/>
    <w:rsid w:val="00655703"/>
    <w:rsid w:val="006873C4"/>
    <w:rsid w:val="006B2CB0"/>
    <w:rsid w:val="006C7F9F"/>
    <w:rsid w:val="006D7D23"/>
    <w:rsid w:val="006E2402"/>
    <w:rsid w:val="006E3C20"/>
    <w:rsid w:val="006F10CF"/>
    <w:rsid w:val="006F5861"/>
    <w:rsid w:val="00722A05"/>
    <w:rsid w:val="00732BD2"/>
    <w:rsid w:val="00735FD8"/>
    <w:rsid w:val="00747C53"/>
    <w:rsid w:val="007776A4"/>
    <w:rsid w:val="00781597"/>
    <w:rsid w:val="00781901"/>
    <w:rsid w:val="007908D5"/>
    <w:rsid w:val="00794FA3"/>
    <w:rsid w:val="007A1C27"/>
    <w:rsid w:val="007A4599"/>
    <w:rsid w:val="007C4084"/>
    <w:rsid w:val="007D04A0"/>
    <w:rsid w:val="007E74DC"/>
    <w:rsid w:val="007F7A16"/>
    <w:rsid w:val="00861B21"/>
    <w:rsid w:val="00863C32"/>
    <w:rsid w:val="00864C67"/>
    <w:rsid w:val="00883D74"/>
    <w:rsid w:val="008A0C5D"/>
    <w:rsid w:val="008B4209"/>
    <w:rsid w:val="008E5D88"/>
    <w:rsid w:val="0090241A"/>
    <w:rsid w:val="00926F56"/>
    <w:rsid w:val="00963798"/>
    <w:rsid w:val="00992003"/>
    <w:rsid w:val="009C16B2"/>
    <w:rsid w:val="009C3904"/>
    <w:rsid w:val="009D3F34"/>
    <w:rsid w:val="009E10F6"/>
    <w:rsid w:val="00A05B7F"/>
    <w:rsid w:val="00A0600A"/>
    <w:rsid w:val="00A13259"/>
    <w:rsid w:val="00A32A9C"/>
    <w:rsid w:val="00A678DC"/>
    <w:rsid w:val="00A80A44"/>
    <w:rsid w:val="00A86BD4"/>
    <w:rsid w:val="00A876DC"/>
    <w:rsid w:val="00AA2ADF"/>
    <w:rsid w:val="00AC692A"/>
    <w:rsid w:val="00AC6A09"/>
    <w:rsid w:val="00AD6810"/>
    <w:rsid w:val="00B15BB5"/>
    <w:rsid w:val="00B278AB"/>
    <w:rsid w:val="00B40364"/>
    <w:rsid w:val="00BA71D7"/>
    <w:rsid w:val="00BB5684"/>
    <w:rsid w:val="00BD357B"/>
    <w:rsid w:val="00BE0A55"/>
    <w:rsid w:val="00BF63AF"/>
    <w:rsid w:val="00C201E0"/>
    <w:rsid w:val="00C216C6"/>
    <w:rsid w:val="00C50091"/>
    <w:rsid w:val="00C84B2E"/>
    <w:rsid w:val="00C9556F"/>
    <w:rsid w:val="00C9653B"/>
    <w:rsid w:val="00CD541C"/>
    <w:rsid w:val="00CE016C"/>
    <w:rsid w:val="00CF12AE"/>
    <w:rsid w:val="00CF6866"/>
    <w:rsid w:val="00D03570"/>
    <w:rsid w:val="00D05F85"/>
    <w:rsid w:val="00D07EA1"/>
    <w:rsid w:val="00D22A25"/>
    <w:rsid w:val="00D32121"/>
    <w:rsid w:val="00D542A5"/>
    <w:rsid w:val="00D55965"/>
    <w:rsid w:val="00D65F9F"/>
    <w:rsid w:val="00D84D2B"/>
    <w:rsid w:val="00D922B6"/>
    <w:rsid w:val="00DA65B7"/>
    <w:rsid w:val="00DA6A2B"/>
    <w:rsid w:val="00DA7D72"/>
    <w:rsid w:val="00DC2697"/>
    <w:rsid w:val="00DE0D1A"/>
    <w:rsid w:val="00DF37C2"/>
    <w:rsid w:val="00DF389A"/>
    <w:rsid w:val="00E049FB"/>
    <w:rsid w:val="00E10D3F"/>
    <w:rsid w:val="00E174AB"/>
    <w:rsid w:val="00E20354"/>
    <w:rsid w:val="00E21EEE"/>
    <w:rsid w:val="00E42982"/>
    <w:rsid w:val="00E51C63"/>
    <w:rsid w:val="00E62000"/>
    <w:rsid w:val="00E67FFE"/>
    <w:rsid w:val="00E72EE7"/>
    <w:rsid w:val="00EA02A7"/>
    <w:rsid w:val="00EC145C"/>
    <w:rsid w:val="00ED580D"/>
    <w:rsid w:val="00ED5C0E"/>
    <w:rsid w:val="00ED5E9D"/>
    <w:rsid w:val="00F1464A"/>
    <w:rsid w:val="00F30B58"/>
    <w:rsid w:val="00F474B2"/>
    <w:rsid w:val="00F61EC1"/>
    <w:rsid w:val="00F71E07"/>
    <w:rsid w:val="00F82284"/>
    <w:rsid w:val="00F85C4D"/>
    <w:rsid w:val="00F92C63"/>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5619BFC"/>
  <w15:docId w15:val="{2A41227D-6602-4C85-A3D0-A554D1E37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2TK42201KX\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973CF-AC88-4CCC-8123-05AAEBB1C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LCEWA01.dot</Template>
  <TotalTime>0</TotalTime>
  <Pages>3</Pages>
  <Words>305</Words>
  <Characters>1744</Characters>
  <Application>Microsoft Office Word</Application>
  <DocSecurity>0</DocSecurity>
  <Lines>14</Lines>
  <Paragraphs>4</Paragraphs>
  <ScaleCrop>false</ScaleCrop>
  <Company/>
  <LinksUpToDate>false</LinksUpToDate>
  <CharactersWithSpaces>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p:keywords>
  <dc:description>186;188;3;;</dc:description>
  <cp:lastModifiedBy>Administrator</cp:lastModifiedBy>
  <cp:revision>2</cp:revision>
  <cp:lastPrinted>2004-10-07T02:24:00Z</cp:lastPrinted>
  <dcterms:created xsi:type="dcterms:W3CDTF">2024-10-24T06:08:00Z</dcterms:created>
  <dcterms:modified xsi:type="dcterms:W3CDTF">2024-10-24T06:08:00Z</dcterms:modified>
</cp:coreProperties>
</file>