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ECC53" w14:textId="77777777" w:rsidR="00D0509D" w:rsidRPr="005E63CA" w:rsidRDefault="00D0509D" w:rsidP="005E63CA">
      <w:pPr>
        <w:pStyle w:val="afff4"/>
        <w:spacing w:beforeLines="0" w:before="0" w:afterLines="0" w:after="0" w:line="420" w:lineRule="exact"/>
        <w:ind w:leftChars="133" w:left="843" w:hangingChars="200" w:hanging="562"/>
        <w:rPr>
          <w:rFonts w:ascii="細明體" w:eastAsia="細明體" w:hAnsi="細明體"/>
        </w:rPr>
      </w:pPr>
      <w:r w:rsidRPr="005E63CA">
        <w:rPr>
          <w:rFonts w:ascii="細明體" w:eastAsia="細明體" w:hAnsi="細明體" w:hint="eastAsia"/>
        </w:rPr>
        <w:t>乙、本院委員質詢部分</w:t>
      </w:r>
    </w:p>
    <w:p w14:paraId="37717BF2" w14:textId="77777777" w:rsidR="00D0509D" w:rsidRPr="00916379" w:rsidRDefault="00D0509D" w:rsidP="00D0509D">
      <w:pPr>
        <w:pStyle w:val="afb"/>
        <w:spacing w:beforeLines="100" w:before="335" w:line="420" w:lineRule="exact"/>
        <w:ind w:leftChars="0" w:left="855" w:hanging="855"/>
      </w:pPr>
      <w:r>
        <w:rPr>
          <w:rFonts w:hint="eastAsia"/>
        </w:rPr>
        <w:t>（一）</w:t>
      </w:r>
      <w:r w:rsidRPr="00916379">
        <w:rPr>
          <w:rFonts w:hint="eastAsia"/>
        </w:rPr>
        <w:t>本院羅委員智強，針對帶狀皰疹疫苗高昂費用，民眾負擔沉重，特向行政院提出質詢。</w:t>
      </w:r>
    </w:p>
    <w:p w14:paraId="17ACCD0E" w14:textId="77777777" w:rsidR="00D0509D" w:rsidRPr="00913A8D" w:rsidRDefault="00D0509D" w:rsidP="00D0509D">
      <w:pPr>
        <w:pStyle w:val="a4"/>
        <w:spacing w:line="240" w:lineRule="auto"/>
        <w:ind w:left="633" w:hanging="633"/>
      </w:pPr>
    </w:p>
    <w:p w14:paraId="5B435944" w14:textId="77777777" w:rsidR="00D0509D" w:rsidRDefault="00D0509D" w:rsidP="00D0509D">
      <w:pPr>
        <w:pStyle w:val="a4"/>
        <w:spacing w:line="380" w:lineRule="exact"/>
        <w:ind w:left="633" w:hanging="633"/>
      </w:pPr>
      <w:r>
        <w:rPr>
          <w:rFonts w:hint="eastAsia"/>
        </w:rPr>
        <w:t>說明：</w:t>
      </w:r>
    </w:p>
    <w:p w14:paraId="41C474F9" w14:textId="77777777" w:rsidR="00D0509D" w:rsidRDefault="00D0509D" w:rsidP="00D0509D">
      <w:pPr>
        <w:pStyle w:val="affffe"/>
        <w:spacing w:line="380" w:lineRule="exact"/>
        <w:ind w:leftChars="100" w:left="211" w:firstLine="422"/>
      </w:pPr>
      <w:r>
        <w:rPr>
          <w:rFonts w:hint="eastAsia"/>
        </w:rPr>
        <w:t>近年來，衛福部投入大量公款，透過電視及網路廣告宣導帶狀皰疹（俗稱皮蛇）的嚴重性，呼籲民眾積極施打帶狀皰疹疫苗，特別是針對</w:t>
      </w:r>
      <w:r>
        <w:rPr>
          <w:rFonts w:hint="eastAsia"/>
        </w:rPr>
        <w:t>50</w:t>
      </w:r>
      <w:r>
        <w:rPr>
          <w:rFonts w:hint="eastAsia"/>
        </w:rPr>
        <w:t>歲以上的高風險族群。帶狀皰疹確實可能引發嚴重疼痛及持續性神經痛等後遺症，根據衛生福利部疾病管制署的數據，國人一生罹患帶狀皰疹的風險約為</w:t>
      </w:r>
      <w:r>
        <w:rPr>
          <w:rFonts w:hint="eastAsia"/>
        </w:rPr>
        <w:t>32.2%</w:t>
      </w:r>
      <w:r>
        <w:rPr>
          <w:rFonts w:hint="eastAsia"/>
        </w:rPr>
        <w:t>，但在政策執行過程中民眾的經濟負擔、補助措施卻存在執行面上的問題。</w:t>
      </w:r>
    </w:p>
    <w:p w14:paraId="28C8442F" w14:textId="77777777" w:rsidR="00D0509D" w:rsidRDefault="00D0509D" w:rsidP="00D0509D">
      <w:pPr>
        <w:pStyle w:val="affffe"/>
        <w:spacing w:line="380" w:lineRule="exact"/>
        <w:ind w:leftChars="100" w:left="211" w:firstLine="422"/>
      </w:pPr>
      <w:r>
        <w:rPr>
          <w:rFonts w:hint="eastAsia"/>
        </w:rPr>
        <w:t>首先，目前在台灣施打的帶狀皰疹疫苗新舊款均為自費接種，未納入公費或健保補助範圍。</w:t>
      </w:r>
      <w:r>
        <w:rPr>
          <w:rFonts w:hint="eastAsia"/>
        </w:rPr>
        <w:t>Shingrix</w:t>
      </w:r>
      <w:r>
        <w:rPr>
          <w:rFonts w:hint="eastAsia"/>
        </w:rPr>
        <w:t>疫苗的每劑價格高達</w:t>
      </w:r>
      <w:r>
        <w:rPr>
          <w:rFonts w:hint="eastAsia"/>
        </w:rPr>
        <w:t>9,000</w:t>
      </w:r>
      <w:r>
        <w:rPr>
          <w:rFonts w:hint="eastAsia"/>
        </w:rPr>
        <w:t>元，需施打兩劑，總費用約</w:t>
      </w:r>
      <w:r>
        <w:rPr>
          <w:rFonts w:hint="eastAsia"/>
        </w:rPr>
        <w:t>18,000</w:t>
      </w:r>
      <w:r>
        <w:rPr>
          <w:rFonts w:hint="eastAsia"/>
        </w:rPr>
        <w:t>元。相比之下，美國疾病管制與預防中心（</w:t>
      </w:r>
      <w:r>
        <w:rPr>
          <w:rFonts w:hint="eastAsia"/>
        </w:rPr>
        <w:t>CDC</w:t>
      </w:r>
      <w:r>
        <w:rPr>
          <w:rFonts w:hint="eastAsia"/>
        </w:rPr>
        <w:t>）早在</w:t>
      </w:r>
      <w:r>
        <w:rPr>
          <w:rFonts w:hint="eastAsia"/>
        </w:rPr>
        <w:t>2020</w:t>
      </w:r>
      <w:r>
        <w:rPr>
          <w:rFonts w:hint="eastAsia"/>
        </w:rPr>
        <w:t>年起就將</w:t>
      </w:r>
      <w:r>
        <w:rPr>
          <w:rFonts w:hint="eastAsia"/>
        </w:rPr>
        <w:t>Shingrix</w:t>
      </w:r>
      <w:r>
        <w:rPr>
          <w:rFonts w:hint="eastAsia"/>
        </w:rPr>
        <w:t>列為帶狀皰疹的首選疫苗，並納入公費接種範圍，減輕民眾經濟負擔。台灣疫苗價格高昂且無補助，對一般民眾與高風險族群而言，無疑是沉重的經濟壓力。</w:t>
      </w:r>
    </w:p>
    <w:p w14:paraId="25EC7CBE" w14:textId="77777777" w:rsidR="00D0509D" w:rsidRDefault="00D0509D" w:rsidP="00D0509D">
      <w:pPr>
        <w:pStyle w:val="affffe"/>
        <w:spacing w:line="380" w:lineRule="exact"/>
        <w:ind w:leftChars="100" w:left="211" w:firstLine="422"/>
      </w:pPr>
      <w:r>
        <w:rPr>
          <w:rFonts w:hint="eastAsia"/>
        </w:rPr>
        <w:t>帶狀皰疹主要發生於</w:t>
      </w:r>
      <w:r>
        <w:rPr>
          <w:rFonts w:hint="eastAsia"/>
        </w:rPr>
        <w:t>50</w:t>
      </w:r>
      <w:r>
        <w:rPr>
          <w:rFonts w:hint="eastAsia"/>
        </w:rPr>
        <w:t>歲以上的高風險族群，疫苗接種是預防此病及其後遺症的有效手段。根據衛福部的統計，全台</w:t>
      </w:r>
      <w:r>
        <w:rPr>
          <w:rFonts w:hint="eastAsia"/>
        </w:rPr>
        <w:t>65</w:t>
      </w:r>
      <w:r>
        <w:rPr>
          <w:rFonts w:hint="eastAsia"/>
        </w:rPr>
        <w:t>歲以上低收入戶約有</w:t>
      </w:r>
      <w:r>
        <w:rPr>
          <w:rFonts w:hint="eastAsia"/>
        </w:rPr>
        <w:t>5</w:t>
      </w:r>
      <w:r>
        <w:rPr>
          <w:rFonts w:hint="eastAsia"/>
        </w:rPr>
        <w:t>萬</w:t>
      </w:r>
      <w:r>
        <w:rPr>
          <w:rFonts w:hint="eastAsia"/>
        </w:rPr>
        <w:t>1</w:t>
      </w:r>
      <w:r>
        <w:t>,</w:t>
      </w:r>
      <w:r>
        <w:rPr>
          <w:rFonts w:hint="eastAsia"/>
        </w:rPr>
        <w:t>260</w:t>
      </w:r>
      <w:r>
        <w:rPr>
          <w:rFonts w:hint="eastAsia"/>
        </w:rPr>
        <w:t>人、中低收入戶約</w:t>
      </w:r>
      <w:r>
        <w:rPr>
          <w:rFonts w:hint="eastAsia"/>
        </w:rPr>
        <w:t>1</w:t>
      </w:r>
      <w:r>
        <w:rPr>
          <w:rFonts w:hint="eastAsia"/>
        </w:rPr>
        <w:t>萬</w:t>
      </w:r>
      <w:r>
        <w:rPr>
          <w:rFonts w:hint="eastAsia"/>
        </w:rPr>
        <w:t>6</w:t>
      </w:r>
      <w:r>
        <w:t>,</w:t>
      </w:r>
      <w:r>
        <w:rPr>
          <w:rFonts w:hint="eastAsia"/>
        </w:rPr>
        <w:t>825</w:t>
      </w:r>
      <w:r>
        <w:rPr>
          <w:rFonts w:hint="eastAsia"/>
        </w:rPr>
        <w:t>人，若中央提供這些族群帶狀皰疹疫苗接種補助，將有助於降低疾病發生率，減輕公共醫療負擔。</w:t>
      </w:r>
    </w:p>
    <w:p w14:paraId="7C7A4B4E" w14:textId="77777777" w:rsidR="00D0509D" w:rsidRDefault="00D0509D" w:rsidP="00D0509D">
      <w:pPr>
        <w:pStyle w:val="affffe"/>
        <w:spacing w:line="380" w:lineRule="exact"/>
        <w:ind w:leftChars="100" w:left="211" w:firstLine="422"/>
      </w:pPr>
      <w:r>
        <w:rPr>
          <w:rFonts w:hint="eastAsia"/>
        </w:rPr>
        <w:t>鑑於疫苗高昂的價格負擔，部分地方政府已率先推動對弱勢和高風險族群提供補助或免費接種服務。例如，嘉義市自今年</w:t>
      </w:r>
      <w:r>
        <w:rPr>
          <w:rFonts w:hint="eastAsia"/>
        </w:rPr>
        <w:t>8</w:t>
      </w:r>
      <w:r>
        <w:rPr>
          <w:rFonts w:hint="eastAsia"/>
        </w:rPr>
        <w:t>月起免費為設籍滿一年的</w:t>
      </w:r>
      <w:r>
        <w:rPr>
          <w:rFonts w:hint="eastAsia"/>
        </w:rPr>
        <w:t>65</w:t>
      </w:r>
      <w:r>
        <w:rPr>
          <w:rFonts w:hint="eastAsia"/>
        </w:rPr>
        <w:t>歲以上低收入及中低收入戶長者接種</w:t>
      </w:r>
      <w:r>
        <w:rPr>
          <w:rFonts w:hint="eastAsia"/>
        </w:rPr>
        <w:t>2</w:t>
      </w:r>
      <w:r>
        <w:rPr>
          <w:rFonts w:hint="eastAsia"/>
        </w:rPr>
        <w:t>劑型帶狀皰疹疫苗；花蓮縣自</w:t>
      </w:r>
      <w:r>
        <w:rPr>
          <w:rFonts w:hint="eastAsia"/>
        </w:rPr>
        <w:t>2021</w:t>
      </w:r>
      <w:r>
        <w:rPr>
          <w:rFonts w:hint="eastAsia"/>
        </w:rPr>
        <w:t>年起，每年提供</w:t>
      </w:r>
      <w:r>
        <w:rPr>
          <w:rFonts w:hint="eastAsia"/>
        </w:rPr>
        <w:t>3</w:t>
      </w:r>
      <w:r>
        <w:t>,</w:t>
      </w:r>
      <w:r>
        <w:rPr>
          <w:rFonts w:hint="eastAsia"/>
        </w:rPr>
        <w:t>000</w:t>
      </w:r>
      <w:r>
        <w:rPr>
          <w:rFonts w:hint="eastAsia"/>
        </w:rPr>
        <w:t>劑疫苗供</w:t>
      </w:r>
      <w:r>
        <w:rPr>
          <w:rFonts w:hint="eastAsia"/>
        </w:rPr>
        <w:t>50</w:t>
      </w:r>
      <w:r>
        <w:rPr>
          <w:rFonts w:hint="eastAsia"/>
        </w:rPr>
        <w:t>歲以上中低收入戶接種；連江縣也開放</w:t>
      </w:r>
      <w:r>
        <w:rPr>
          <w:rFonts w:hint="eastAsia"/>
        </w:rPr>
        <w:t>65</w:t>
      </w:r>
      <w:r>
        <w:rPr>
          <w:rFonts w:hint="eastAsia"/>
        </w:rPr>
        <w:t>歲以上長者免費接種。新竹市針對</w:t>
      </w:r>
      <w:r>
        <w:rPr>
          <w:rFonts w:hint="eastAsia"/>
        </w:rPr>
        <w:t>50</w:t>
      </w:r>
      <w:r>
        <w:rPr>
          <w:rFonts w:hint="eastAsia"/>
        </w:rPr>
        <w:t>歲以上長者提供單劑</w:t>
      </w:r>
      <w:r>
        <w:rPr>
          <w:rFonts w:hint="eastAsia"/>
        </w:rPr>
        <w:t>1</w:t>
      </w:r>
      <w:r>
        <w:t>,</w:t>
      </w:r>
      <w:r>
        <w:rPr>
          <w:rFonts w:hint="eastAsia"/>
        </w:rPr>
        <w:t>000</w:t>
      </w:r>
      <w:r>
        <w:rPr>
          <w:rFonts w:hint="eastAsia"/>
        </w:rPr>
        <w:t>元補助，竹北市則根據收入差異補助疫苗費用，以提升接種的可及性。</w:t>
      </w:r>
    </w:p>
    <w:p w14:paraId="7AA7D7B5" w14:textId="77777777" w:rsidR="00D0509D" w:rsidRDefault="00D0509D" w:rsidP="00D0509D">
      <w:pPr>
        <w:pStyle w:val="affffe"/>
        <w:spacing w:line="380" w:lineRule="exact"/>
        <w:ind w:leftChars="100" w:left="211" w:firstLine="422"/>
      </w:pPr>
      <w:r>
        <w:rPr>
          <w:rFonts w:hint="eastAsia"/>
        </w:rPr>
        <w:t>在地方政府紛紛推出補助政策的情況下，中央應當跟進或至少鼓勵各縣市依據實際需求推動相應的補助政策。敬請貴院就相關事宜回覆。</w:t>
      </w:r>
    </w:p>
    <w:p w14:paraId="140B3C02" w14:textId="77777777" w:rsidR="00D0509D" w:rsidRPr="00916379" w:rsidRDefault="00D0509D" w:rsidP="00D0509D">
      <w:pPr>
        <w:pStyle w:val="afb"/>
        <w:spacing w:beforeLines="100" w:before="335" w:line="420" w:lineRule="exact"/>
        <w:ind w:leftChars="0" w:left="855" w:hanging="855"/>
      </w:pPr>
      <w:r>
        <w:rPr>
          <w:rFonts w:hint="eastAsia"/>
        </w:rPr>
        <w:t>（二）</w:t>
      </w:r>
      <w:r w:rsidRPr="00916379">
        <w:rPr>
          <w:rFonts w:hint="eastAsia"/>
        </w:rPr>
        <w:t>本院吳委員宗憲，有鑑於大客車缺工問題嚴重，根據</w:t>
      </w:r>
      <w:r w:rsidRPr="00916379">
        <w:rPr>
          <w:rFonts w:hint="eastAsia"/>
        </w:rPr>
        <w:t>2024</w:t>
      </w:r>
      <w:r w:rsidRPr="00916379">
        <w:rPr>
          <w:rFonts w:hint="eastAsia"/>
        </w:rPr>
        <w:t>年公路局更新統計，運輸業人力缺額達</w:t>
      </w:r>
      <w:r w:rsidRPr="00916379">
        <w:rPr>
          <w:rFonts w:hint="eastAsia"/>
        </w:rPr>
        <w:t>9</w:t>
      </w:r>
      <w:r w:rsidRPr="00916379">
        <w:t>,</w:t>
      </w:r>
      <w:r w:rsidRPr="00916379">
        <w:rPr>
          <w:rFonts w:hint="eastAsia"/>
        </w:rPr>
        <w:t>693</w:t>
      </w:r>
      <w:r w:rsidRPr="00916379">
        <w:rPr>
          <w:rFonts w:hint="eastAsia"/>
        </w:rPr>
        <w:t>位。經報導，公會理事長及從業人員皆曾表示，大客車駕駛工時長、風險高等不友善工作環境是使司機不願意從業的原因。駕駛工時長和其複雜的薪資組成有高度相關，經看客運駕駛薪資由高達</w:t>
      </w:r>
      <w:r w:rsidRPr="00916379">
        <w:rPr>
          <w:rFonts w:hint="eastAsia"/>
        </w:rPr>
        <w:t>14</w:t>
      </w:r>
      <w:r w:rsidRPr="00916379">
        <w:rPr>
          <w:rFonts w:hint="eastAsia"/>
        </w:rPr>
        <w:t>則細項加總而成，其中加班費有可能占了三成以上，且每個月薪資浮動劇烈。中央祭出</w:t>
      </w:r>
      <w:r w:rsidRPr="00916379">
        <w:rPr>
          <w:rFonts w:hint="eastAsia"/>
        </w:rPr>
        <w:lastRenderedPageBreak/>
        <w:t>多項補助仍無法改善缺工問題，足以顯示不僅是薪水高低，其背後更有薪資上的結構性問題。爰此要求勞動部及交通部儘快針對大客車駕駛薪資破碎化進行改善，以保障大客車駕駛之健全就業環境，特向行政院提出質詢。</w:t>
      </w:r>
    </w:p>
    <w:p w14:paraId="0E09D8F2" w14:textId="77777777" w:rsidR="00D0509D" w:rsidRPr="00913A8D" w:rsidRDefault="00D0509D" w:rsidP="00D0509D">
      <w:pPr>
        <w:pStyle w:val="a4"/>
        <w:spacing w:line="240" w:lineRule="auto"/>
        <w:ind w:left="633" w:hanging="633"/>
      </w:pPr>
    </w:p>
    <w:p w14:paraId="2AD46294" w14:textId="77777777" w:rsidR="00D0509D" w:rsidRDefault="00D0509D" w:rsidP="00D0509D">
      <w:pPr>
        <w:pStyle w:val="a4"/>
        <w:spacing w:line="380" w:lineRule="exact"/>
        <w:ind w:left="633" w:hanging="633"/>
      </w:pPr>
      <w:r>
        <w:rPr>
          <w:rFonts w:hint="eastAsia"/>
        </w:rPr>
        <w:t>說明：</w:t>
      </w:r>
    </w:p>
    <w:p w14:paraId="30D6971E" w14:textId="77777777" w:rsidR="00D0509D" w:rsidRDefault="00D0509D" w:rsidP="00D0509D">
      <w:pPr>
        <w:pStyle w:val="afffff0"/>
        <w:spacing w:line="380" w:lineRule="exact"/>
        <w:ind w:left="633" w:hanging="422"/>
      </w:pPr>
      <w:r>
        <w:rPr>
          <w:rFonts w:hint="eastAsia"/>
        </w:rPr>
        <w:t>一、士林地方法院勞動專庭</w:t>
      </w:r>
      <w:r>
        <w:rPr>
          <w:rFonts w:hint="eastAsia"/>
        </w:rPr>
        <w:t>111</w:t>
      </w:r>
      <w:r>
        <w:rPr>
          <w:rFonts w:hint="eastAsia"/>
        </w:rPr>
        <w:t>年度勞訴字第</w:t>
      </w:r>
      <w:r>
        <w:rPr>
          <w:rFonts w:hint="eastAsia"/>
        </w:rPr>
        <w:t>115</w:t>
      </w:r>
      <w:r>
        <w:rPr>
          <w:rFonts w:hint="eastAsia"/>
        </w:rPr>
        <w:t>號判決書內的薪資明細可以看出該案件司機月薪由十四項細項組成（底薪、伙食津貼、安服獎金、行車安全獎金、運價專案補貼、節油津貼、加勤安服獎金、加勤行安獎金、逾時津貼、單延津貼、特殊功績、國定假日津貼、休息日津貼、例假津貼）其中在其</w:t>
      </w:r>
      <w:r>
        <w:rPr>
          <w:rFonts w:hint="eastAsia"/>
        </w:rPr>
        <w:t>2020</w:t>
      </w:r>
      <w:r>
        <w:rPr>
          <w:rFonts w:hint="eastAsia"/>
        </w:rPr>
        <w:t>年</w:t>
      </w:r>
      <w:r>
        <w:rPr>
          <w:rFonts w:hint="eastAsia"/>
        </w:rPr>
        <w:t>10</w:t>
      </w:r>
      <w:r>
        <w:rPr>
          <w:rFonts w:hint="eastAsia"/>
        </w:rPr>
        <w:t>月薪資組成中加班費（逾時津貼、國定假日津貼、休息日津貼）超過薪資三成。</w:t>
      </w:r>
    </w:p>
    <w:p w14:paraId="33701B16" w14:textId="77777777" w:rsidR="00D0509D" w:rsidRDefault="00D0509D" w:rsidP="00D0509D">
      <w:pPr>
        <w:pStyle w:val="afffff0"/>
        <w:spacing w:line="380" w:lineRule="exact"/>
        <w:ind w:left="633" w:hanging="422"/>
      </w:pPr>
      <w:r>
        <w:rPr>
          <w:rFonts w:hint="eastAsia"/>
        </w:rPr>
        <w:t>二、同樣從</w:t>
      </w:r>
      <w:r>
        <w:rPr>
          <w:rFonts w:hint="eastAsia"/>
        </w:rPr>
        <w:t>111</w:t>
      </w:r>
      <w:r>
        <w:rPr>
          <w:rFonts w:hint="eastAsia"/>
        </w:rPr>
        <w:t>年度勞訴字第</w:t>
      </w:r>
      <w:r>
        <w:rPr>
          <w:rFonts w:hint="eastAsia"/>
        </w:rPr>
        <w:t>115</w:t>
      </w:r>
      <w:r>
        <w:rPr>
          <w:rFonts w:hint="eastAsia"/>
        </w:rPr>
        <w:t>號判決書內（附表一）可以看出每個月薪資浮動程度大，最高曾有月薪八萬九，最低一萬四的情形。</w:t>
      </w:r>
    </w:p>
    <w:p w14:paraId="6ECBF5E1" w14:textId="77777777" w:rsidR="00D0509D" w:rsidRDefault="00D0509D" w:rsidP="00D0509D">
      <w:pPr>
        <w:pStyle w:val="afffff0"/>
        <w:spacing w:line="380" w:lineRule="exact"/>
        <w:ind w:left="633" w:hanging="422"/>
      </w:pPr>
      <w:r>
        <w:rPr>
          <w:rFonts w:hint="eastAsia"/>
        </w:rPr>
        <w:t>三、人資專家建議薪資結構組成需權衡外部公平、內部公平及個別公平。以大客車駕駛情況來看，缺少能有效管理員工績效與發展的制度，像是針對個別員工的貢獻、工作投入及學習成長的意願等考察，而全依賴加班時數長短來決定薪資多寡，有失個別公平。</w:t>
      </w:r>
    </w:p>
    <w:p w14:paraId="21A49F3E" w14:textId="77777777" w:rsidR="00D0509D" w:rsidRDefault="00D0509D" w:rsidP="00D0509D">
      <w:pPr>
        <w:pStyle w:val="afffff0"/>
        <w:spacing w:line="380" w:lineRule="exact"/>
        <w:ind w:left="633" w:hanging="422"/>
      </w:pPr>
      <w:r>
        <w:rPr>
          <w:rFonts w:hint="eastAsia"/>
        </w:rPr>
        <w:t>四、大客車駕駛長期缺工及複雜的薪資結構，導致駕駛過勞及肇事情形頻傳，爰此要求交通部及勞動部相關單位，儘速研擬配套措施，改善大客車駕駛就業環境。</w:t>
      </w:r>
    </w:p>
    <w:p w14:paraId="437DD395" w14:textId="77777777" w:rsidR="00D0509D" w:rsidRDefault="00D0509D" w:rsidP="00D0509D">
      <w:pPr>
        <w:pStyle w:val="afffff0"/>
        <w:spacing w:line="380" w:lineRule="exact"/>
        <w:ind w:left="633" w:hanging="422"/>
      </w:pPr>
      <w:r>
        <w:rPr>
          <w:rFonts w:hint="eastAsia"/>
        </w:rPr>
        <w:t>五、根據政府資料開放平台行政院主計總處統計〈</w:t>
      </w:r>
      <w:r>
        <w:rPr>
          <w:rFonts w:hint="eastAsia"/>
        </w:rPr>
        <w:t>112</w:t>
      </w:r>
      <w:r>
        <w:rPr>
          <w:rFonts w:hint="eastAsia"/>
        </w:rPr>
        <w:t>年</w:t>
      </w:r>
      <w:r>
        <w:rPr>
          <w:rFonts w:hint="eastAsia"/>
        </w:rPr>
        <w:t>8</w:t>
      </w:r>
      <w:r>
        <w:rPr>
          <w:rFonts w:hint="eastAsia"/>
        </w:rPr>
        <w:t>月底運輸及倉儲業廠商職缺僱用條件概況─按職類及員工規模分〉駕駛及有關工作人員部分有</w:t>
      </w:r>
      <w:r>
        <w:rPr>
          <w:rFonts w:hint="eastAsia"/>
        </w:rPr>
        <w:t>3</w:t>
      </w:r>
      <w:r>
        <w:t>,</w:t>
      </w:r>
      <w:r>
        <w:rPr>
          <w:rFonts w:hint="eastAsia"/>
        </w:rPr>
        <w:t>973</w:t>
      </w:r>
      <w:r>
        <w:rPr>
          <w:rFonts w:hint="eastAsia"/>
        </w:rPr>
        <w:t>個職缺，職缺數結構比高達</w:t>
      </w:r>
      <w:r>
        <w:rPr>
          <w:rFonts w:hint="eastAsia"/>
        </w:rPr>
        <w:t>50.7</w:t>
      </w:r>
    </w:p>
    <w:p w14:paraId="4D2ACE99" w14:textId="1ED89E3B" w:rsidR="005E63CA" w:rsidRDefault="00D0509D" w:rsidP="00D0509D">
      <w:pPr>
        <w:pStyle w:val="afffff0"/>
        <w:spacing w:line="380" w:lineRule="exact"/>
        <w:ind w:left="633" w:hanging="422"/>
      </w:pPr>
      <w:r>
        <w:rPr>
          <w:rFonts w:hint="eastAsia"/>
        </w:rPr>
        <w:t>六、根據政府資料開放平台公路局於</w:t>
      </w:r>
      <w:r>
        <w:rPr>
          <w:rFonts w:hint="eastAsia"/>
        </w:rPr>
        <w:t>2024</w:t>
      </w:r>
      <w:r>
        <w:rPr>
          <w:rFonts w:hint="eastAsia"/>
        </w:rPr>
        <w:t>年</w:t>
      </w:r>
      <w:r>
        <w:rPr>
          <w:rFonts w:hint="eastAsia"/>
        </w:rPr>
        <w:t>7</w:t>
      </w:r>
      <w:r>
        <w:rPr>
          <w:rFonts w:hint="eastAsia"/>
        </w:rPr>
        <w:t>月</w:t>
      </w:r>
      <w:r>
        <w:rPr>
          <w:rFonts w:hint="eastAsia"/>
        </w:rPr>
        <w:t>4</w:t>
      </w:r>
      <w:r>
        <w:rPr>
          <w:rFonts w:hint="eastAsia"/>
        </w:rPr>
        <w:t>日更新統計〈運輸業缺員訊息〉顯示各公司在不同縣市的職缺加總高達</w:t>
      </w:r>
      <w:r>
        <w:rPr>
          <w:rFonts w:hint="eastAsia"/>
        </w:rPr>
        <w:t>9</w:t>
      </w:r>
      <w:r>
        <w:t>,</w:t>
      </w:r>
      <w:r>
        <w:rPr>
          <w:rFonts w:hint="eastAsia"/>
        </w:rPr>
        <w:t>693</w:t>
      </w:r>
      <w:r>
        <w:rPr>
          <w:rFonts w:hint="eastAsia"/>
        </w:rPr>
        <w:t>，且公路客運和市區客運為主要缺額。</w:t>
      </w:r>
    </w:p>
    <w:p w14:paraId="773AED16" w14:textId="77777777" w:rsidR="005E63CA" w:rsidRDefault="005E63CA">
      <w:pPr>
        <w:widowControl/>
        <w:kinsoku/>
        <w:overflowPunct/>
        <w:jc w:val="left"/>
        <w:textAlignment w:val="auto"/>
        <w:rPr>
          <w:kern w:val="0"/>
        </w:rPr>
      </w:pPr>
      <w:r>
        <w:br w:type="page"/>
      </w:r>
    </w:p>
    <w:p w14:paraId="360FFFE4" w14:textId="77777777" w:rsidR="00D0509D" w:rsidRPr="000C3B62" w:rsidRDefault="00D0509D" w:rsidP="005E63CA">
      <w:pPr>
        <w:pStyle w:val="afffff0"/>
        <w:spacing w:line="14" w:lineRule="exact"/>
        <w:ind w:left="633" w:hanging="422"/>
      </w:pPr>
    </w:p>
    <w:p w14:paraId="7E44AAC1" w14:textId="77777777" w:rsidR="00D0509D" w:rsidRDefault="00D0509D" w:rsidP="00D0509D">
      <w:pPr>
        <w:pStyle w:val="affffe"/>
        <w:spacing w:line="380" w:lineRule="exact"/>
        <w:ind w:leftChars="300" w:left="633" w:firstLineChars="0" w:firstLine="0"/>
      </w:pPr>
      <w:r>
        <w:rPr>
          <w:rFonts w:hint="eastAsia"/>
        </w:rPr>
        <w:t>附表一</w:t>
      </w:r>
    </w:p>
    <w:p w14:paraId="2B57B2E3" w14:textId="77777777" w:rsidR="00D0509D" w:rsidRPr="00916379" w:rsidRDefault="00D0509D" w:rsidP="00D0509D">
      <w:pPr>
        <w:spacing w:line="380" w:lineRule="exact"/>
      </w:pPr>
    </w:p>
    <w:p w14:paraId="5E768335" w14:textId="58AC798F" w:rsidR="001F6F5F" w:rsidRDefault="00EC7553" w:rsidP="005E63CA">
      <w:pPr>
        <w:jc w:val="center"/>
      </w:pPr>
      <w:r>
        <mc:AlternateContent>
          <mc:Choice Requires="wps">
            <w:drawing>
              <wp:anchor distT="0" distB="0" distL="114300" distR="114300" simplePos="0" relativeHeight="251659264" behindDoc="0" locked="0" layoutInCell="1" allowOverlap="1" wp14:anchorId="039472CE" wp14:editId="7105078C">
                <wp:simplePos x="0" y="0"/>
                <wp:positionH relativeFrom="column">
                  <wp:posOffset>526415</wp:posOffset>
                </wp:positionH>
                <wp:positionV relativeFrom="paragraph">
                  <wp:posOffset>3251200</wp:posOffset>
                </wp:positionV>
                <wp:extent cx="4715510" cy="93980"/>
                <wp:effectExtent l="19050" t="19050" r="27940" b="20320"/>
                <wp:wrapNone/>
                <wp:docPr id="1107298426"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15510" cy="93980"/>
                        </a:xfrm>
                        <a:prstGeom prst="rect">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8926DF" id="矩形 2" o:spid="_x0000_s1026" style="position:absolute;margin-left:41.45pt;margin-top:256pt;width:371.3pt;height: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" filled="f" strokecolor="red" strokeweight="2.25pt">
                <v:path arrowok="t"/>
              </v:rect>
            </w:pict>
          </mc:Fallback>
        </mc:AlternateContent>
      </w:r>
      <w:r>
        <mc:AlternateContent>
          <mc:Choice Requires="wps">
            <w:drawing>
              <wp:anchor distT="0" distB="0" distL="114300" distR="114300" simplePos="0" relativeHeight="251660288" behindDoc="0" locked="0" layoutInCell="1" allowOverlap="1" wp14:anchorId="68FF8755" wp14:editId="2DF7C34A">
                <wp:simplePos x="0" y="0"/>
                <wp:positionH relativeFrom="margin">
                  <wp:posOffset>558165</wp:posOffset>
                </wp:positionH>
                <wp:positionV relativeFrom="paragraph">
                  <wp:posOffset>4424045</wp:posOffset>
                </wp:positionV>
                <wp:extent cx="4683760" cy="108585"/>
                <wp:effectExtent l="19050" t="19050" r="21590" b="24765"/>
                <wp:wrapNone/>
                <wp:docPr id="8797390"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83760" cy="108585"/>
                        </a:xfrm>
                        <a:prstGeom prst="rect">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298186" id="矩形 2" o:spid="_x0000_s1026" style="position:absolute;margin-left:43.95pt;margin-top:348.35pt;width:368.8pt;height:8.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" filled="f" strokecolor="red" strokeweight="2.25pt">
                <v:path arrowok="t"/>
                <w10:wrap anchorx="margin"/>
              </v:rect>
            </w:pict>
          </mc:Fallback>
        </mc:AlternateContent>
      </w:r>
      <w:r>
        <w:drawing>
          <wp:inline distT="0" distB="0" distL="0" distR="0" wp14:anchorId="150BA795" wp14:editId="1B16D632">
            <wp:extent cx="5372100" cy="7732154"/>
            <wp:effectExtent l="0" t="0" r="0" b="254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cstate="print">
                      <a:extLst>
                        <a:ext uri="{28A0092B-C50C-407E-A947-70E740481C1C}">
                          <a14:useLocalDpi xmlns:a14="http://schemas.microsoft.com/office/drawing/2010/main" val="0"/>
                        </a:ext>
                      </a:extLst>
                    </a:blip>
                    <a:srcRect t="1733"/>
                    <a:stretch>
                      <a:fillRect/>
                    </a:stretch>
                  </pic:blipFill>
                  <pic:spPr bwMode="auto">
                    <a:xfrm>
                      <a:off x="0" y="0"/>
                      <a:ext cx="5372768" cy="7733116"/>
                    </a:xfrm>
                    <a:prstGeom prst="rect">
                      <a:avLst/>
                    </a:prstGeom>
                    <a:noFill/>
                    <a:ln>
                      <a:noFill/>
                    </a:ln>
                  </pic:spPr>
                </pic:pic>
              </a:graphicData>
            </a:graphic>
          </wp:inline>
        </w:drawing>
      </w:r>
    </w:p>
    <w:p w14:paraId="20B847F0" w14:textId="379AF873" w:rsidR="00D0509D" w:rsidRDefault="001F6F5F" w:rsidP="000C3B62">
      <w:pPr>
        <w:widowControl/>
        <w:kinsoku/>
        <w:overflowPunct/>
        <w:jc w:val="left"/>
        <w:textAlignment w:val="auto"/>
      </w:pPr>
      <w:r>
        <w:br w:type="page"/>
      </w:r>
    </w:p>
    <w:sectPr w:rsidR="00D0509D" w:rsidSect="000C3B62">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277"/>
      <w:cols w:space="720"/>
      <w:docGrid w:type="linesAndChars" w:linePitch="335" w:charSpace="2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A9197" w14:textId="77777777" w:rsidR="00207BB0" w:rsidRDefault="00207BB0">
      <w:r>
        <w:separator/>
      </w:r>
    </w:p>
  </w:endnote>
  <w:endnote w:type="continuationSeparator" w:id="0">
    <w:p w14:paraId="166FDF54" w14:textId="77777777" w:rsidR="00207BB0" w:rsidRDefault="00207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71971" w14:textId="66361256" w:rsidR="000C3B62" w:rsidRDefault="000C3B62">
    <w:pPr>
      <w:pStyle w:val="afff9"/>
    </w:pPr>
    <w:r>
      <mc:AlternateContent>
        <mc:Choice Requires="wps">
          <w:drawing>
            <wp:anchor distT="0" distB="0" distL="114300" distR="114300" simplePos="0" relativeHeight="251661312" behindDoc="0" locked="0" layoutInCell="1" allowOverlap="1" wp14:anchorId="436A5A43" wp14:editId="5E7C177E">
              <wp:simplePos x="0" y="0"/>
              <wp:positionH relativeFrom="column">
                <wp:posOffset>318</wp:posOffset>
              </wp:positionH>
              <wp:positionV relativeFrom="paragraph">
                <wp:posOffset>-138430</wp:posOffset>
              </wp:positionV>
              <wp:extent cx="5760719" cy="400050"/>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2D5C15E" w14:textId="4F846305" w:rsidR="000C3B62" w:rsidRPr="000C3B62" w:rsidRDefault="000C3B62" w:rsidP="000C3B62">
                          <w:pPr>
                            <w:spacing w:line="210" w:lineRule="exact"/>
                            <w:jc w:val="center"/>
                          </w:pPr>
                          <w:r>
                            <w:fldChar w:fldCharType="begin"/>
                          </w:r>
                          <w:r>
                            <w:instrText xml:space="preserve"> PAGE  \* MERGEFORMAT </w:instrText>
                          </w:r>
                          <w:r>
                            <w:fldChar w:fldCharType="separate"/>
                          </w:r>
                          <w:r w:rsidR="00391B82">
                            <w:t>280</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8"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U6w0qgMDAABdBgAADgAAAAAAAAAAAAAAAAAuAgAAZHJzL2Uyb0RvYy54bWxQ&#10;SwECLQAUAAYACAAAACEAG7Ayo98AAAAHAQAADwAAAAAAAAAAAAAAAABdBQAAZHJzL2Rvd25yZXYu&#10;eG1sUEsFBgAAAAAEAAQA8wAAAGkGAAAAAA==&#10;" filled="f" stroked="f" strokeweight=".5pt">
              <v:textbox>
                <w:txbxContent>
                  <w:p w14:paraId="72D5C15E" w14:textId="4F846305" w:rsidR="000C3B62" w:rsidRPr="000C3B62" w:rsidRDefault="000C3B62" w:rsidP="000C3B62">
                    <w:pPr>
                      <w:spacing w:line="210" w:lineRule="exact"/>
                      <w:jc w:val="center"/>
                    </w:pPr>
                    <w:r>
                      <w:fldChar w:fldCharType="begin"/>
                    </w:r>
                    <w:r>
                      <w:instrText xml:space="preserve"> PAGE  \* MERGEFORMAT </w:instrText>
                    </w:r>
                    <w:r>
                      <w:fldChar w:fldCharType="separate"/>
                    </w:r>
                    <w:r w:rsidR="00391B82">
                      <w:t>280</w:t>
                    </w:r>
                    <w: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15716" w14:textId="694ADF91" w:rsidR="000C3B62" w:rsidRDefault="000C3B62">
    <w:pPr>
      <w:pStyle w:val="afff9"/>
    </w:pPr>
    <w:r>
      <mc:AlternateContent>
        <mc:Choice Requires="wps">
          <w:drawing>
            <wp:anchor distT="0" distB="0" distL="114300" distR="114300" simplePos="0" relativeHeight="251659264" behindDoc="0" locked="0" layoutInCell="1" allowOverlap="1" wp14:anchorId="786F9C4F" wp14:editId="57822DFB">
              <wp:simplePos x="0" y="0"/>
              <wp:positionH relativeFrom="column">
                <wp:posOffset>318</wp:posOffset>
              </wp:positionH>
              <wp:positionV relativeFrom="paragraph">
                <wp:posOffset>-138430</wp:posOffset>
              </wp:positionV>
              <wp:extent cx="5760719" cy="400050"/>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9657084" w14:textId="14956973" w:rsidR="000C3B62" w:rsidRPr="000C3B62" w:rsidRDefault="000C3B62" w:rsidP="000C3B62">
                          <w:pPr>
                            <w:spacing w:line="210" w:lineRule="exact"/>
                            <w:jc w:val="center"/>
                          </w:pPr>
                          <w:r>
                            <w:fldChar w:fldCharType="begin"/>
                          </w:r>
                          <w:r>
                            <w:instrText xml:space="preserve"> PAGE  \* MERGEFORMAT </w:instrText>
                          </w:r>
                          <w:r>
                            <w:fldChar w:fldCharType="separate"/>
                          </w:r>
                          <w:r w:rsidR="00391B82">
                            <w:t>279</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9"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yAQeYgMDAABdBgAADgAAAAAAAAAAAAAAAAAuAgAAZHJzL2Uyb0RvYy54bWxQ&#10;SwECLQAUAAYACAAAACEAG7Ayo98AAAAHAQAADwAAAAAAAAAAAAAAAABdBQAAZHJzL2Rvd25yZXYu&#10;eG1sUEsFBgAAAAAEAAQA8wAAAGkGAAAAAA==&#10;" filled="f" stroked="f" strokeweight=".5pt">
              <v:textbox>
                <w:txbxContent>
                  <w:p w14:paraId="79657084" w14:textId="14956973" w:rsidR="000C3B62" w:rsidRPr="000C3B62" w:rsidRDefault="000C3B62" w:rsidP="000C3B62">
                    <w:pPr>
                      <w:spacing w:line="210" w:lineRule="exact"/>
                      <w:jc w:val="center"/>
                    </w:pPr>
                    <w:r>
                      <w:fldChar w:fldCharType="begin"/>
                    </w:r>
                    <w:r>
                      <w:instrText xml:space="preserve"> PAGE  \* MERGEFORMAT </w:instrText>
                    </w:r>
                    <w:r>
                      <w:fldChar w:fldCharType="separate"/>
                    </w:r>
                    <w:r w:rsidR="00391B82">
                      <w:t>279</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0A773" w14:textId="77777777" w:rsidR="00207BB0" w:rsidRDefault="00207BB0">
      <w:r>
        <w:separator/>
      </w:r>
    </w:p>
  </w:footnote>
  <w:footnote w:type="continuationSeparator" w:id="0">
    <w:p w14:paraId="3722AF1C" w14:textId="77777777" w:rsidR="00207BB0" w:rsidRDefault="00207B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1BDA2" w14:textId="009283A4" w:rsidR="000C3B62" w:rsidRDefault="000C3B62">
    <w:pPr>
      <w:pStyle w:val="afffa"/>
    </w:pPr>
    <w:r>
      <mc:AlternateContent>
        <mc:Choice Requires="wps">
          <w:drawing>
            <wp:anchor distT="0" distB="0" distL="114300" distR="114300" simplePos="0" relativeHeight="251662336" behindDoc="0" locked="0" layoutInCell="1" allowOverlap="1" wp14:anchorId="0FD0E660" wp14:editId="0A00B401">
              <wp:simplePos x="0" y="0"/>
              <wp:positionH relativeFrom="column">
                <wp:posOffset>318</wp:posOffset>
              </wp:positionH>
              <wp:positionV relativeFrom="paragraph">
                <wp:posOffset>-137795</wp:posOffset>
              </wp:positionV>
              <wp:extent cx="5760719" cy="38100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37BD313B" w14:textId="360C1EA7" w:rsidR="000C3B62" w:rsidRPr="000C3B62" w:rsidRDefault="000C3B62" w:rsidP="000C3B62">
                          <w:pPr>
                            <w:spacing w:line="294" w:lineRule="exact"/>
                            <w:jc w:val="left"/>
                          </w:pPr>
                          <w:r>
                            <w:rPr>
                              <w:rFonts w:hint="eastAsia"/>
                            </w:rPr>
                            <w:t>立法院公報　第</w:t>
                          </w:r>
                          <w:r>
                            <w:rPr>
                              <w:rFonts w:hint="eastAsia"/>
                            </w:rPr>
                            <w:t>113</w:t>
                          </w:r>
                          <w:r>
                            <w:rPr>
                              <w:rFonts w:hint="eastAsia"/>
                            </w:rPr>
                            <w:t>卷　第</w:t>
                          </w:r>
                          <w:r>
                            <w:rPr>
                              <w:rFonts w:hint="eastAsia"/>
                            </w:rPr>
                            <w:t>95</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5" o:spid="_x0000_s1026"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" filled="f" stroked="f" strokeweight=".5pt">
              <v:fill o:detectmouseclick="t"/>
              <v:textbox>
                <w:txbxContent>
                  <w:p w14:paraId="37BD313B" w14:textId="360C1EA7" w:rsidR="000C3B62" w:rsidRPr="000C3B62" w:rsidRDefault="000C3B62" w:rsidP="000C3B62">
                    <w:pPr>
                      <w:spacing w:line="294" w:lineRule="exact"/>
                      <w:jc w:val="left"/>
                    </w:pPr>
                    <w:r>
                      <w:rPr>
                        <w:rFonts w:hint="eastAsia"/>
                      </w:rPr>
                      <w:t>立法院公報　第</w:t>
                    </w:r>
                    <w:r>
                      <w:rPr>
                        <w:rFonts w:hint="eastAsia"/>
                      </w:rPr>
                      <w:t>113</w:t>
                    </w:r>
                    <w:r>
                      <w:rPr>
                        <w:rFonts w:hint="eastAsia"/>
                      </w:rPr>
                      <w:t>卷　第</w:t>
                    </w:r>
                    <w:r>
                      <w:rPr>
                        <w:rFonts w:hint="eastAsia"/>
                      </w:rPr>
                      <w:t>95</w:t>
                    </w:r>
                    <w:r>
                      <w:rPr>
                        <w:rFonts w:hint="eastAsia"/>
                      </w:rPr>
                      <w:t>期　院會紀錄</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79C50" w14:textId="38E56084" w:rsidR="000C3B62" w:rsidRDefault="000C3B62">
    <w:pPr>
      <w:pStyle w:val="afffa"/>
    </w:pPr>
    <w:r>
      <mc:AlternateContent>
        <mc:Choice Requires="wps">
          <w:drawing>
            <wp:anchor distT="0" distB="0" distL="114300" distR="114300" simplePos="0" relativeHeight="251660288" behindDoc="0" locked="0" layoutInCell="1" allowOverlap="1" wp14:anchorId="52B483E4" wp14:editId="14F0F99A">
              <wp:simplePos x="0" y="0"/>
              <wp:positionH relativeFrom="column">
                <wp:posOffset>318</wp:posOffset>
              </wp:positionH>
              <wp:positionV relativeFrom="paragraph">
                <wp:posOffset>-137795</wp:posOffset>
              </wp:positionV>
              <wp:extent cx="5760719" cy="381000"/>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689E932" w14:textId="1A38ED36" w:rsidR="000C3B62" w:rsidRPr="000C3B62" w:rsidRDefault="000C3B62" w:rsidP="000C3B62">
                          <w:pPr>
                            <w:spacing w:line="294" w:lineRule="exact"/>
                            <w:jc w:val="right"/>
                          </w:pPr>
                          <w:r>
                            <w:rPr>
                              <w:rFonts w:hint="eastAsia"/>
                            </w:rPr>
                            <w:t>立法院公報　第</w:t>
                          </w:r>
                          <w:r>
                            <w:rPr>
                              <w:rFonts w:hint="eastAsia"/>
                            </w:rPr>
                            <w:t>113</w:t>
                          </w:r>
                          <w:r>
                            <w:rPr>
                              <w:rFonts w:hint="eastAsia"/>
                            </w:rPr>
                            <w:t>卷　第</w:t>
                          </w:r>
                          <w:r>
                            <w:rPr>
                              <w:rFonts w:hint="eastAsia"/>
                            </w:rPr>
                            <w:t>95</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7"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" filled="f" stroked="f" strokeweight=".5pt">
              <v:fill o:detectmouseclick="t"/>
              <v:textbox>
                <w:txbxContent>
                  <w:p w14:paraId="6689E932" w14:textId="1A38ED36" w:rsidR="000C3B62" w:rsidRPr="000C3B62" w:rsidRDefault="000C3B62" w:rsidP="000C3B62">
                    <w:pPr>
                      <w:spacing w:line="294" w:lineRule="exact"/>
                      <w:jc w:val="right"/>
                    </w:pPr>
                    <w:r>
                      <w:rPr>
                        <w:rFonts w:hint="eastAsia"/>
                      </w:rPr>
                      <w:t>立法院公報　第</w:t>
                    </w:r>
                    <w:r>
                      <w:rPr>
                        <w:rFonts w:hint="eastAsia"/>
                      </w:rPr>
                      <w:t>113</w:t>
                    </w:r>
                    <w:r>
                      <w:rPr>
                        <w:rFonts w:hint="eastAsia"/>
                      </w:rPr>
                      <w:t>卷　第</w:t>
                    </w:r>
                    <w:r>
                      <w:rPr>
                        <w:rFonts w:hint="eastAsia"/>
                      </w:rPr>
                      <w:t>95</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63571"/>
    <w:rsid w:val="00021974"/>
    <w:rsid w:val="000322E4"/>
    <w:rsid w:val="00034179"/>
    <w:rsid w:val="0006260D"/>
    <w:rsid w:val="0007483B"/>
    <w:rsid w:val="00092EFA"/>
    <w:rsid w:val="00097026"/>
    <w:rsid w:val="000B190B"/>
    <w:rsid w:val="000C3B62"/>
    <w:rsid w:val="000C6344"/>
    <w:rsid w:val="000D2076"/>
    <w:rsid w:val="000E3372"/>
    <w:rsid w:val="000F48AA"/>
    <w:rsid w:val="001132D3"/>
    <w:rsid w:val="001166AB"/>
    <w:rsid w:val="00123301"/>
    <w:rsid w:val="00130626"/>
    <w:rsid w:val="001346DF"/>
    <w:rsid w:val="0013754A"/>
    <w:rsid w:val="00152E55"/>
    <w:rsid w:val="00174DC3"/>
    <w:rsid w:val="001776A7"/>
    <w:rsid w:val="00192966"/>
    <w:rsid w:val="001A0A32"/>
    <w:rsid w:val="001A5138"/>
    <w:rsid w:val="001A7C69"/>
    <w:rsid w:val="001E1A19"/>
    <w:rsid w:val="001E385A"/>
    <w:rsid w:val="001F6F5F"/>
    <w:rsid w:val="00207BB0"/>
    <w:rsid w:val="00235073"/>
    <w:rsid w:val="00235BD9"/>
    <w:rsid w:val="00240FA3"/>
    <w:rsid w:val="0024333A"/>
    <w:rsid w:val="00243679"/>
    <w:rsid w:val="00252A12"/>
    <w:rsid w:val="00293B0A"/>
    <w:rsid w:val="002A04DC"/>
    <w:rsid w:val="002A509E"/>
    <w:rsid w:val="002C335B"/>
    <w:rsid w:val="00355CB3"/>
    <w:rsid w:val="00360394"/>
    <w:rsid w:val="00362E94"/>
    <w:rsid w:val="00372E8D"/>
    <w:rsid w:val="00387860"/>
    <w:rsid w:val="00391B82"/>
    <w:rsid w:val="003A00D7"/>
    <w:rsid w:val="003B341B"/>
    <w:rsid w:val="004034F0"/>
    <w:rsid w:val="004047CB"/>
    <w:rsid w:val="004126B4"/>
    <w:rsid w:val="0042704C"/>
    <w:rsid w:val="00433E82"/>
    <w:rsid w:val="0044045C"/>
    <w:rsid w:val="00441B24"/>
    <w:rsid w:val="00443AB2"/>
    <w:rsid w:val="00453F8A"/>
    <w:rsid w:val="00473B4E"/>
    <w:rsid w:val="00485C17"/>
    <w:rsid w:val="004D0169"/>
    <w:rsid w:val="004D78BA"/>
    <w:rsid w:val="004E74DF"/>
    <w:rsid w:val="0054261A"/>
    <w:rsid w:val="00542984"/>
    <w:rsid w:val="00552448"/>
    <w:rsid w:val="00580C16"/>
    <w:rsid w:val="005B1DB0"/>
    <w:rsid w:val="005E63CA"/>
    <w:rsid w:val="00632430"/>
    <w:rsid w:val="00655703"/>
    <w:rsid w:val="00663571"/>
    <w:rsid w:val="006873C4"/>
    <w:rsid w:val="006B2CB0"/>
    <w:rsid w:val="006C7F9F"/>
    <w:rsid w:val="006D7D23"/>
    <w:rsid w:val="006E2402"/>
    <w:rsid w:val="006E3C20"/>
    <w:rsid w:val="006F10CF"/>
    <w:rsid w:val="006F5861"/>
    <w:rsid w:val="00722A05"/>
    <w:rsid w:val="00732BD2"/>
    <w:rsid w:val="00735FD8"/>
    <w:rsid w:val="007776A4"/>
    <w:rsid w:val="00781901"/>
    <w:rsid w:val="007908D5"/>
    <w:rsid w:val="00794FA3"/>
    <w:rsid w:val="007A1C27"/>
    <w:rsid w:val="007A4599"/>
    <w:rsid w:val="007C4084"/>
    <w:rsid w:val="007D04A0"/>
    <w:rsid w:val="007E74DC"/>
    <w:rsid w:val="007F7A16"/>
    <w:rsid w:val="00801B75"/>
    <w:rsid w:val="00861B21"/>
    <w:rsid w:val="00863C32"/>
    <w:rsid w:val="00864C67"/>
    <w:rsid w:val="00883D74"/>
    <w:rsid w:val="008A0C5D"/>
    <w:rsid w:val="008B4209"/>
    <w:rsid w:val="008E5D88"/>
    <w:rsid w:val="0090241A"/>
    <w:rsid w:val="00926F56"/>
    <w:rsid w:val="00963798"/>
    <w:rsid w:val="00992003"/>
    <w:rsid w:val="009C16B2"/>
    <w:rsid w:val="009C3904"/>
    <w:rsid w:val="009D3F34"/>
    <w:rsid w:val="009E10F6"/>
    <w:rsid w:val="00A05B7F"/>
    <w:rsid w:val="00A0600A"/>
    <w:rsid w:val="00A13259"/>
    <w:rsid w:val="00A32A9C"/>
    <w:rsid w:val="00A678DC"/>
    <w:rsid w:val="00A80A44"/>
    <w:rsid w:val="00A86BD4"/>
    <w:rsid w:val="00A876DC"/>
    <w:rsid w:val="00AA2ADF"/>
    <w:rsid w:val="00AC692A"/>
    <w:rsid w:val="00AC6A09"/>
    <w:rsid w:val="00AD6810"/>
    <w:rsid w:val="00B15BB5"/>
    <w:rsid w:val="00B278AB"/>
    <w:rsid w:val="00B40364"/>
    <w:rsid w:val="00B8137D"/>
    <w:rsid w:val="00BA71D7"/>
    <w:rsid w:val="00BB5684"/>
    <w:rsid w:val="00BE0A55"/>
    <w:rsid w:val="00BF63AF"/>
    <w:rsid w:val="00C201E0"/>
    <w:rsid w:val="00C216C6"/>
    <w:rsid w:val="00C3396B"/>
    <w:rsid w:val="00C50091"/>
    <w:rsid w:val="00C84B2E"/>
    <w:rsid w:val="00C9556F"/>
    <w:rsid w:val="00C9653B"/>
    <w:rsid w:val="00CD541C"/>
    <w:rsid w:val="00CE016C"/>
    <w:rsid w:val="00CF12AE"/>
    <w:rsid w:val="00CF6866"/>
    <w:rsid w:val="00D03570"/>
    <w:rsid w:val="00D0509D"/>
    <w:rsid w:val="00D05F85"/>
    <w:rsid w:val="00D07EA1"/>
    <w:rsid w:val="00D22A25"/>
    <w:rsid w:val="00D32121"/>
    <w:rsid w:val="00D542A5"/>
    <w:rsid w:val="00D65F9F"/>
    <w:rsid w:val="00D84D2B"/>
    <w:rsid w:val="00D922B6"/>
    <w:rsid w:val="00DA65B7"/>
    <w:rsid w:val="00DA6A2B"/>
    <w:rsid w:val="00DA7D72"/>
    <w:rsid w:val="00DC2697"/>
    <w:rsid w:val="00DE0D1A"/>
    <w:rsid w:val="00DF37C2"/>
    <w:rsid w:val="00DF389A"/>
    <w:rsid w:val="00E049FB"/>
    <w:rsid w:val="00E10D3F"/>
    <w:rsid w:val="00E174AB"/>
    <w:rsid w:val="00E20354"/>
    <w:rsid w:val="00E21EEE"/>
    <w:rsid w:val="00E42982"/>
    <w:rsid w:val="00E51C63"/>
    <w:rsid w:val="00E62000"/>
    <w:rsid w:val="00E67FFE"/>
    <w:rsid w:val="00E72EE7"/>
    <w:rsid w:val="00EA02A7"/>
    <w:rsid w:val="00EC145C"/>
    <w:rsid w:val="00EC7553"/>
    <w:rsid w:val="00ED580D"/>
    <w:rsid w:val="00ED5C0E"/>
    <w:rsid w:val="00ED5E9D"/>
    <w:rsid w:val="00F1464A"/>
    <w:rsid w:val="00F167AF"/>
    <w:rsid w:val="00F30B58"/>
    <w:rsid w:val="00F474B2"/>
    <w:rsid w:val="00F61EC1"/>
    <w:rsid w:val="00F71E07"/>
    <w:rsid w:val="00F82284"/>
    <w:rsid w:val="00F85C4D"/>
    <w:rsid w:val="00F92C63"/>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58E55B4"/>
  <w15:docId w15:val="{5AD5E3C4-EA9F-4831-A891-B64DA3436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 w:type="paragraph" w:styleId="affffff7">
    <w:name w:val="Balloon Text"/>
    <w:basedOn w:val="a"/>
    <w:link w:val="affffff8"/>
    <w:uiPriority w:val="99"/>
    <w:semiHidden/>
    <w:unhideWhenUsed/>
    <w:rsid w:val="00801B75"/>
    <w:rPr>
      <w:rFonts w:asciiTheme="majorHAnsi" w:eastAsiaTheme="majorEastAsia" w:hAnsiTheme="majorHAnsi" w:cstheme="majorBidi"/>
      <w:sz w:val="18"/>
      <w:szCs w:val="18"/>
    </w:rPr>
  </w:style>
  <w:style w:type="character" w:customStyle="1" w:styleId="affffff8">
    <w:name w:val="註解方塊文字 字元"/>
    <w:basedOn w:val="a0"/>
    <w:link w:val="affffff7"/>
    <w:uiPriority w:val="99"/>
    <w:semiHidden/>
    <w:rsid w:val="00801B75"/>
    <w:rPr>
      <w:rFonts w:asciiTheme="majorHAnsi" w:eastAsiaTheme="majorEastAsia" w:hAnsiTheme="majorHAnsi" w:cstheme="majorBidi"/>
      <w:noProof/>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utf-8"/>
  <w:optimizeForBrowser/>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DA1A4-17D7-4F6E-918C-4E5586A5B9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LCEWA01.dot</Template>
  <TotalTime>0</TotalTime>
  <Pages>4</Pages>
  <Words>253</Words>
  <Characters>1446</Characters>
  <Application>Microsoft Office Word</Application>
  <DocSecurity>0</DocSecurity>
  <Lines>12</Lines>
  <Paragraphs>3</Paragraphs>
  <ScaleCrop>false</ScaleCrop>
  <Company/>
  <LinksUpToDate>false</LinksUpToDate>
  <CharactersWithSpaces>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cp:keywords>
  <dc:description>277;280;4;;</dc:description>
  <cp:lastModifiedBy>Administrator</cp:lastModifiedBy>
  <cp:revision>2</cp:revision>
  <cp:lastPrinted>2024-11-27T07:17:00Z</cp:lastPrinted>
  <dcterms:created xsi:type="dcterms:W3CDTF">2024-11-28T05:50:00Z</dcterms:created>
  <dcterms:modified xsi:type="dcterms:W3CDTF">2024-11-28T05:50:00Z</dcterms:modified>
</cp:coreProperties>
</file>