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F57389" w14:textId="161F8EBE" w:rsidR="00BC4FAA" w:rsidRPr="00A95263" w:rsidRDefault="001454C4" w:rsidP="00010555">
      <w:pPr>
        <w:pStyle w:val="Default"/>
        <w:spacing w:afterLines="50" w:after="180" w:line="360" w:lineRule="exact"/>
        <w:ind w:left="1031" w:hangingChars="303" w:hanging="1031"/>
        <w:jc w:val="both"/>
        <w:rPr>
          <w:rFonts w:hAnsi="標楷體"/>
          <w:b/>
          <w:color w:val="auto"/>
          <w:sz w:val="28"/>
          <w:szCs w:val="28"/>
        </w:rPr>
      </w:pPr>
      <w:bookmarkStart w:id="0" w:name="會議名稱"/>
      <w:bookmarkEnd w:id="0"/>
      <w:r w:rsidRPr="00570621">
        <w:rPr>
          <w:rFonts w:hAnsi="標楷體"/>
          <w:b/>
          <w:color w:val="auto"/>
          <w:spacing w:val="30"/>
          <w:sz w:val="28"/>
          <w:szCs w:val="28"/>
        </w:rPr>
        <w:t>立法院第11屆第5會期經濟委員會第16次全體委員會議議事</w:t>
      </w:r>
      <w:r w:rsidRPr="00A95263">
        <w:rPr>
          <w:rFonts w:hAnsi="標楷體"/>
          <w:b/>
          <w:color w:val="auto"/>
          <w:spacing w:val="20"/>
          <w:sz w:val="28"/>
          <w:szCs w:val="28"/>
        </w:rPr>
        <w:t>錄</w:t>
      </w:r>
    </w:p>
    <w:p w14:paraId="245E1DD2" w14:textId="56D2B902" w:rsidR="00BC4FAA" w:rsidRPr="00732B76" w:rsidRDefault="00BC4FAA" w:rsidP="00010555">
      <w:pPr>
        <w:pStyle w:val="Default"/>
        <w:spacing w:line="360" w:lineRule="exact"/>
        <w:ind w:left="970" w:hangingChars="303" w:hanging="970"/>
        <w:jc w:val="both"/>
        <w:rPr>
          <w:rFonts w:hAnsi="標楷體"/>
          <w:color w:val="auto"/>
          <w:spacing w:val="20"/>
          <w:sz w:val="28"/>
          <w:szCs w:val="28"/>
        </w:rPr>
      </w:pPr>
      <w:r w:rsidRPr="00732B76">
        <w:rPr>
          <w:rFonts w:hAnsi="標楷體" w:hint="eastAsia"/>
          <w:color w:val="auto"/>
          <w:spacing w:val="20"/>
          <w:sz w:val="28"/>
          <w:szCs w:val="28"/>
        </w:rPr>
        <w:t>時</w:t>
      </w:r>
      <w:r w:rsidR="00D45A5C" w:rsidRPr="00732B76">
        <w:rPr>
          <w:rFonts w:hAnsi="標楷體" w:hint="eastAsia"/>
          <w:color w:val="auto"/>
          <w:spacing w:val="20"/>
          <w:sz w:val="28"/>
          <w:szCs w:val="28"/>
        </w:rPr>
        <w:t xml:space="preserve">　　</w:t>
      </w:r>
      <w:r w:rsidRPr="00732B76">
        <w:rPr>
          <w:rFonts w:hAnsi="標楷體" w:hint="eastAsia"/>
          <w:color w:val="auto"/>
          <w:spacing w:val="20"/>
          <w:sz w:val="28"/>
          <w:szCs w:val="28"/>
        </w:rPr>
        <w:t>間：</w:t>
      </w:r>
      <w:bookmarkStart w:id="1" w:name="時間"/>
      <w:bookmarkEnd w:id="1"/>
      <w:r w:rsidR="001454C4" w:rsidRPr="00732B76">
        <w:rPr>
          <w:rFonts w:hAnsi="標楷體"/>
          <w:color w:val="auto"/>
          <w:spacing w:val="20"/>
          <w:sz w:val="28"/>
          <w:szCs w:val="28"/>
        </w:rPr>
        <w:t>115年6月3日（星期三）上午9時至</w:t>
      </w:r>
      <w:r w:rsidR="004129F1" w:rsidRPr="00732B76">
        <w:rPr>
          <w:rFonts w:hAnsi="標楷體" w:hint="eastAsia"/>
          <w:color w:val="auto"/>
          <w:spacing w:val="20"/>
          <w:sz w:val="28"/>
          <w:szCs w:val="28"/>
        </w:rPr>
        <w:t>1</w:t>
      </w:r>
      <w:r w:rsidR="004C018B" w:rsidRPr="00732B76">
        <w:rPr>
          <w:rFonts w:hAnsi="標楷體"/>
          <w:color w:val="auto"/>
          <w:spacing w:val="20"/>
          <w:sz w:val="28"/>
          <w:szCs w:val="28"/>
        </w:rPr>
        <w:t>2</w:t>
      </w:r>
      <w:r w:rsidR="001454C4" w:rsidRPr="00732B76">
        <w:rPr>
          <w:rFonts w:hAnsi="標楷體"/>
          <w:color w:val="auto"/>
          <w:spacing w:val="20"/>
          <w:sz w:val="28"/>
          <w:szCs w:val="28"/>
        </w:rPr>
        <w:t>時</w:t>
      </w:r>
      <w:r w:rsidR="004C018B" w:rsidRPr="00732B76">
        <w:rPr>
          <w:rFonts w:hAnsi="標楷體" w:hint="eastAsia"/>
          <w:color w:val="auto"/>
          <w:spacing w:val="20"/>
          <w:sz w:val="28"/>
          <w:szCs w:val="28"/>
        </w:rPr>
        <w:t>3</w:t>
      </w:r>
      <w:r w:rsidR="004C018B" w:rsidRPr="00732B76">
        <w:rPr>
          <w:rFonts w:hAnsi="標楷體"/>
          <w:color w:val="auto"/>
          <w:spacing w:val="20"/>
          <w:sz w:val="28"/>
          <w:szCs w:val="28"/>
        </w:rPr>
        <w:t>0</w:t>
      </w:r>
      <w:r w:rsidR="001454C4" w:rsidRPr="00732B76">
        <w:rPr>
          <w:rFonts w:hAnsi="標楷體"/>
          <w:color w:val="auto"/>
          <w:spacing w:val="20"/>
          <w:sz w:val="28"/>
          <w:szCs w:val="28"/>
        </w:rPr>
        <w:t>分</w:t>
      </w:r>
    </w:p>
    <w:p w14:paraId="30025951" w14:textId="5CCA712D" w:rsidR="004129F1" w:rsidRPr="00732B76" w:rsidRDefault="004129F1" w:rsidP="00010555">
      <w:pPr>
        <w:pStyle w:val="Default"/>
        <w:spacing w:line="360" w:lineRule="exact"/>
        <w:ind w:firstLineChars="500" w:firstLine="1600"/>
        <w:jc w:val="both"/>
        <w:rPr>
          <w:rFonts w:hAnsi="標楷體"/>
          <w:color w:val="auto"/>
          <w:spacing w:val="20"/>
          <w:sz w:val="28"/>
          <w:szCs w:val="28"/>
        </w:rPr>
      </w:pPr>
      <w:bookmarkStart w:id="2" w:name="_Hlk230973343"/>
      <w:r w:rsidRPr="00732B76">
        <w:rPr>
          <w:rFonts w:hAnsi="標楷體"/>
          <w:color w:val="auto"/>
          <w:spacing w:val="20"/>
          <w:sz w:val="28"/>
          <w:szCs w:val="28"/>
        </w:rPr>
        <w:t>115年6月</w:t>
      </w:r>
      <w:r w:rsidRPr="00732B76">
        <w:rPr>
          <w:rFonts w:hAnsi="標楷體" w:hint="eastAsia"/>
          <w:color w:val="auto"/>
          <w:spacing w:val="20"/>
          <w:sz w:val="28"/>
          <w:szCs w:val="28"/>
        </w:rPr>
        <w:t>4</w:t>
      </w:r>
      <w:r w:rsidRPr="00732B76">
        <w:rPr>
          <w:rFonts w:hAnsi="標楷體"/>
          <w:color w:val="auto"/>
          <w:spacing w:val="20"/>
          <w:sz w:val="28"/>
          <w:szCs w:val="28"/>
        </w:rPr>
        <w:t>日（星期</w:t>
      </w:r>
      <w:r w:rsidRPr="00732B76">
        <w:rPr>
          <w:rFonts w:hAnsi="標楷體" w:hint="eastAsia"/>
          <w:color w:val="auto"/>
          <w:spacing w:val="20"/>
          <w:sz w:val="28"/>
          <w:szCs w:val="28"/>
        </w:rPr>
        <w:t>四</w:t>
      </w:r>
      <w:r w:rsidRPr="00732B76">
        <w:rPr>
          <w:rFonts w:hAnsi="標楷體"/>
          <w:color w:val="auto"/>
          <w:spacing w:val="20"/>
          <w:sz w:val="28"/>
          <w:szCs w:val="28"/>
        </w:rPr>
        <w:t>）</w:t>
      </w:r>
      <w:bookmarkEnd w:id="2"/>
      <w:r w:rsidRPr="00732B76">
        <w:rPr>
          <w:rFonts w:hAnsi="標楷體"/>
          <w:color w:val="auto"/>
          <w:spacing w:val="20"/>
          <w:sz w:val="28"/>
          <w:szCs w:val="28"/>
        </w:rPr>
        <w:t>上午9時至</w:t>
      </w:r>
      <w:r w:rsidR="001B2C3E" w:rsidRPr="00732B76">
        <w:rPr>
          <w:rFonts w:hAnsi="標楷體" w:hint="eastAsia"/>
          <w:color w:val="auto"/>
          <w:spacing w:val="20"/>
          <w:sz w:val="28"/>
          <w:szCs w:val="28"/>
        </w:rPr>
        <w:t>9</w:t>
      </w:r>
      <w:r w:rsidRPr="00732B76">
        <w:rPr>
          <w:rFonts w:hAnsi="標楷體"/>
          <w:color w:val="auto"/>
          <w:spacing w:val="20"/>
          <w:sz w:val="28"/>
          <w:szCs w:val="28"/>
        </w:rPr>
        <w:t>時</w:t>
      </w:r>
      <w:r w:rsidR="001B2C3E" w:rsidRPr="00732B76">
        <w:rPr>
          <w:rFonts w:hAnsi="標楷體" w:hint="eastAsia"/>
          <w:color w:val="auto"/>
          <w:spacing w:val="20"/>
          <w:sz w:val="28"/>
          <w:szCs w:val="28"/>
        </w:rPr>
        <w:t>4</w:t>
      </w:r>
      <w:r w:rsidR="001B2C3E" w:rsidRPr="00732B76">
        <w:rPr>
          <w:rFonts w:hAnsi="標楷體"/>
          <w:color w:val="auto"/>
          <w:spacing w:val="20"/>
          <w:sz w:val="28"/>
          <w:szCs w:val="28"/>
        </w:rPr>
        <w:t>2</w:t>
      </w:r>
      <w:r w:rsidRPr="00732B76">
        <w:rPr>
          <w:rFonts w:hAnsi="標楷體"/>
          <w:color w:val="auto"/>
          <w:spacing w:val="20"/>
          <w:sz w:val="28"/>
          <w:szCs w:val="28"/>
        </w:rPr>
        <w:t>分</w:t>
      </w:r>
    </w:p>
    <w:p w14:paraId="49AACCF7" w14:textId="77777777" w:rsidR="00BC4FAA" w:rsidRPr="00A95263" w:rsidRDefault="00BC4FAA" w:rsidP="00010555">
      <w:pPr>
        <w:pStyle w:val="Default"/>
        <w:spacing w:line="360" w:lineRule="exact"/>
        <w:ind w:left="848" w:hangingChars="303" w:hanging="848"/>
        <w:jc w:val="both"/>
        <w:rPr>
          <w:rFonts w:hAnsi="標楷體"/>
          <w:color w:val="auto"/>
          <w:sz w:val="28"/>
          <w:szCs w:val="28"/>
        </w:rPr>
      </w:pPr>
      <w:r w:rsidRPr="00A95263">
        <w:rPr>
          <w:rFonts w:hAnsi="標楷體" w:hint="eastAsia"/>
          <w:color w:val="auto"/>
          <w:sz w:val="28"/>
          <w:szCs w:val="28"/>
        </w:rPr>
        <w:t>地</w:t>
      </w:r>
      <w:r w:rsidR="00D45A5C" w:rsidRPr="00A95263">
        <w:rPr>
          <w:rFonts w:hAnsi="標楷體" w:hint="eastAsia"/>
          <w:color w:val="auto"/>
          <w:sz w:val="28"/>
          <w:szCs w:val="28"/>
        </w:rPr>
        <w:t xml:space="preserve">　　</w:t>
      </w:r>
      <w:r w:rsidRPr="00A95263">
        <w:rPr>
          <w:rFonts w:hAnsi="標楷體" w:hint="eastAsia"/>
          <w:color w:val="auto"/>
          <w:sz w:val="28"/>
          <w:szCs w:val="28"/>
        </w:rPr>
        <w:t>點：</w:t>
      </w:r>
      <w:bookmarkStart w:id="3" w:name="地點"/>
      <w:bookmarkEnd w:id="3"/>
      <w:r w:rsidR="001454C4" w:rsidRPr="00A95263">
        <w:rPr>
          <w:rFonts w:hAnsi="標楷體" w:hint="eastAsia"/>
          <w:color w:val="auto"/>
          <w:sz w:val="28"/>
          <w:szCs w:val="28"/>
        </w:rPr>
        <w:t>紅樓</w:t>
      </w:r>
      <w:r w:rsidR="001454C4" w:rsidRPr="00A95263">
        <w:rPr>
          <w:rFonts w:hAnsi="標楷體"/>
          <w:color w:val="auto"/>
          <w:sz w:val="28"/>
          <w:szCs w:val="28"/>
        </w:rPr>
        <w:t>101會議室</w:t>
      </w:r>
    </w:p>
    <w:p w14:paraId="38860B1A" w14:textId="05428308" w:rsidR="00BC4FAA" w:rsidRPr="00A95263" w:rsidRDefault="00BC4FAA" w:rsidP="00010555">
      <w:pPr>
        <w:pStyle w:val="Default"/>
        <w:spacing w:line="360" w:lineRule="exact"/>
        <w:ind w:left="1386" w:hangingChars="495" w:hanging="1386"/>
        <w:jc w:val="both"/>
        <w:rPr>
          <w:rFonts w:hAnsi="標楷體"/>
          <w:color w:val="auto"/>
          <w:sz w:val="28"/>
          <w:szCs w:val="28"/>
        </w:rPr>
      </w:pPr>
      <w:r w:rsidRPr="00A95263">
        <w:rPr>
          <w:rFonts w:hAnsi="標楷體" w:hint="eastAsia"/>
          <w:color w:val="auto"/>
          <w:sz w:val="28"/>
          <w:szCs w:val="28"/>
        </w:rPr>
        <w:t>出席委員：</w:t>
      </w:r>
      <w:bookmarkStart w:id="4" w:name="出席委員"/>
      <w:bookmarkStart w:id="5" w:name="_Hlk231369055"/>
      <w:bookmarkEnd w:id="4"/>
      <w:r w:rsidR="00E61DC2" w:rsidRPr="00A95263">
        <w:rPr>
          <w:rFonts w:hAnsi="標楷體"/>
          <w:color w:val="auto"/>
          <w:sz w:val="28"/>
          <w:szCs w:val="28"/>
        </w:rPr>
        <w:t>鍾佳濱</w:t>
      </w:r>
      <w:bookmarkEnd w:id="5"/>
      <w:r w:rsidR="00E61DC2" w:rsidRPr="00A95263">
        <w:rPr>
          <w:rFonts w:hAnsi="標楷體"/>
          <w:color w:val="auto"/>
          <w:sz w:val="28"/>
          <w:szCs w:val="28"/>
        </w:rPr>
        <w:t xml:space="preserve">　</w:t>
      </w:r>
      <w:r w:rsidR="00E61DC2" w:rsidRPr="00A95263">
        <w:rPr>
          <w:rFonts w:hAnsi="標楷體" w:hint="eastAsia"/>
          <w:color w:val="auto"/>
          <w:sz w:val="28"/>
          <w:szCs w:val="28"/>
        </w:rPr>
        <w:t xml:space="preserve">賴瑞隆　洪毓祥　</w:t>
      </w:r>
      <w:proofErr w:type="gramStart"/>
      <w:r w:rsidR="00E61DC2" w:rsidRPr="00A95263">
        <w:rPr>
          <w:rFonts w:hAnsi="標楷體"/>
          <w:color w:val="auto"/>
          <w:sz w:val="28"/>
          <w:szCs w:val="28"/>
        </w:rPr>
        <w:t>陳亭妃</w:t>
      </w:r>
      <w:proofErr w:type="gramEnd"/>
      <w:r w:rsidR="00E61DC2" w:rsidRPr="00A95263">
        <w:rPr>
          <w:rFonts w:hAnsi="標楷體"/>
          <w:color w:val="auto"/>
          <w:sz w:val="28"/>
          <w:szCs w:val="28"/>
        </w:rPr>
        <w:t xml:space="preserve">　</w:t>
      </w:r>
      <w:r w:rsidR="00E61DC2" w:rsidRPr="00A95263">
        <w:rPr>
          <w:rFonts w:hAnsi="標楷體" w:hint="eastAsia"/>
          <w:color w:val="auto"/>
          <w:sz w:val="28"/>
          <w:szCs w:val="28"/>
        </w:rPr>
        <w:t xml:space="preserve">楊瓊瓔　</w:t>
      </w:r>
      <w:proofErr w:type="gramStart"/>
      <w:r w:rsidR="00E61DC2" w:rsidRPr="00A95263">
        <w:rPr>
          <w:rFonts w:hAnsi="標楷體" w:hint="eastAsia"/>
          <w:color w:val="auto"/>
          <w:sz w:val="28"/>
          <w:szCs w:val="28"/>
        </w:rPr>
        <w:t>張嘉郡</w:t>
      </w:r>
      <w:proofErr w:type="gramEnd"/>
      <w:r w:rsidR="00E61DC2" w:rsidRPr="00A95263">
        <w:rPr>
          <w:rFonts w:hAnsi="標楷體" w:hint="eastAsia"/>
          <w:color w:val="auto"/>
          <w:sz w:val="28"/>
          <w:szCs w:val="28"/>
        </w:rPr>
        <w:t xml:space="preserve">　</w:t>
      </w:r>
      <w:r w:rsidR="00E61DC2" w:rsidRPr="00A95263">
        <w:rPr>
          <w:rFonts w:hAnsi="標楷體"/>
          <w:color w:val="auto"/>
          <w:sz w:val="28"/>
          <w:szCs w:val="28"/>
        </w:rPr>
        <w:t xml:space="preserve">鄭正鈐　</w:t>
      </w:r>
      <w:r w:rsidR="00E61DC2" w:rsidRPr="00A95263">
        <w:rPr>
          <w:rFonts w:hAnsi="標楷體" w:hint="eastAsia"/>
          <w:color w:val="auto"/>
          <w:spacing w:val="-8"/>
          <w:sz w:val="28"/>
          <w:szCs w:val="28"/>
        </w:rPr>
        <w:t>鄭天財</w:t>
      </w:r>
      <w:proofErr w:type="spellStart"/>
      <w:r w:rsidR="00E61DC2" w:rsidRPr="00A95263">
        <w:rPr>
          <w:rFonts w:hAnsi="標楷體"/>
          <w:color w:val="auto"/>
          <w:spacing w:val="-8"/>
          <w:sz w:val="28"/>
          <w:szCs w:val="28"/>
        </w:rPr>
        <w:t>Sra</w:t>
      </w:r>
      <w:proofErr w:type="spellEnd"/>
      <w:r w:rsidR="00E61DC2" w:rsidRPr="00A95263">
        <w:rPr>
          <w:rFonts w:hAnsi="標楷體"/>
          <w:color w:val="auto"/>
          <w:spacing w:val="-8"/>
          <w:sz w:val="28"/>
          <w:szCs w:val="28"/>
        </w:rPr>
        <w:t xml:space="preserve"> </w:t>
      </w:r>
      <w:proofErr w:type="spellStart"/>
      <w:r w:rsidR="00E61DC2" w:rsidRPr="00A95263">
        <w:rPr>
          <w:rFonts w:hAnsi="標楷體"/>
          <w:color w:val="auto"/>
          <w:spacing w:val="-8"/>
          <w:sz w:val="28"/>
          <w:szCs w:val="28"/>
        </w:rPr>
        <w:t>Kacaw</w:t>
      </w:r>
      <w:proofErr w:type="spellEnd"/>
      <w:r w:rsidR="00E61DC2" w:rsidRPr="00A95263">
        <w:rPr>
          <w:rFonts w:hAnsi="標楷體"/>
          <w:color w:val="auto"/>
          <w:sz w:val="28"/>
          <w:szCs w:val="28"/>
        </w:rPr>
        <w:t xml:space="preserve">　</w:t>
      </w:r>
      <w:proofErr w:type="gramStart"/>
      <w:r w:rsidR="00F912F0" w:rsidRPr="00A95263">
        <w:rPr>
          <w:rFonts w:hAnsi="標楷體" w:hint="eastAsia"/>
          <w:color w:val="auto"/>
          <w:sz w:val="28"/>
          <w:szCs w:val="28"/>
        </w:rPr>
        <w:t>謝衣</w:t>
      </w:r>
      <w:proofErr w:type="gramEnd"/>
      <w:r w:rsidR="00F912F0" w:rsidRPr="00A95263">
        <w:rPr>
          <w:rFonts w:hAnsi="標楷體" w:hint="eastAsia"/>
          <w:color w:val="auto"/>
          <w:sz w:val="28"/>
          <w:szCs w:val="28"/>
        </w:rPr>
        <w:t xml:space="preserve">鳯　</w:t>
      </w:r>
      <w:r w:rsidR="001454C4" w:rsidRPr="00A95263">
        <w:rPr>
          <w:rFonts w:hAnsi="標楷體" w:hint="eastAsia"/>
          <w:color w:val="auto"/>
          <w:sz w:val="28"/>
          <w:szCs w:val="28"/>
        </w:rPr>
        <w:t xml:space="preserve">呂玉玲　</w:t>
      </w:r>
      <w:r w:rsidR="00A923D9" w:rsidRPr="00A95263">
        <w:rPr>
          <w:rFonts w:hAnsi="標楷體" w:hint="eastAsia"/>
          <w:color w:val="auto"/>
          <w:sz w:val="28"/>
          <w:szCs w:val="28"/>
        </w:rPr>
        <w:t xml:space="preserve">邱議瑩　邱志偉　</w:t>
      </w:r>
      <w:r w:rsidR="001454C4" w:rsidRPr="00A95263">
        <w:rPr>
          <w:rFonts w:hAnsi="標楷體" w:hint="eastAsia"/>
          <w:color w:val="auto"/>
          <w:sz w:val="28"/>
          <w:szCs w:val="28"/>
        </w:rPr>
        <w:t xml:space="preserve">蔡易餘　</w:t>
      </w:r>
      <w:r w:rsidR="001454C4" w:rsidRPr="00A95263">
        <w:rPr>
          <w:rFonts w:hAnsi="標楷體"/>
          <w:color w:val="auto"/>
          <w:sz w:val="28"/>
          <w:szCs w:val="28"/>
        </w:rPr>
        <w:t>陳超明</w:t>
      </w:r>
    </w:p>
    <w:p w14:paraId="0964C974" w14:textId="26F9EA2F" w:rsidR="00D45A5C" w:rsidRPr="00A95263" w:rsidRDefault="00D45A5C" w:rsidP="00010555">
      <w:pPr>
        <w:pStyle w:val="Default"/>
        <w:spacing w:line="360" w:lineRule="exact"/>
        <w:ind w:leftChars="353" w:left="847" w:firstLineChars="203" w:firstLine="568"/>
        <w:jc w:val="both"/>
        <w:rPr>
          <w:rFonts w:hAnsi="標楷體"/>
          <w:color w:val="auto"/>
          <w:sz w:val="28"/>
          <w:szCs w:val="28"/>
        </w:rPr>
      </w:pPr>
      <w:r w:rsidRPr="00A95263">
        <w:rPr>
          <w:rFonts w:hAnsi="標楷體" w:hint="eastAsia"/>
          <w:color w:val="auto"/>
          <w:sz w:val="28"/>
          <w:szCs w:val="28"/>
        </w:rPr>
        <w:t>委員出席</w:t>
      </w:r>
      <w:r w:rsidR="004129F1" w:rsidRPr="00A95263">
        <w:rPr>
          <w:rFonts w:hAnsi="標楷體" w:hint="eastAsia"/>
          <w:color w:val="auto"/>
          <w:sz w:val="28"/>
          <w:szCs w:val="28"/>
        </w:rPr>
        <w:t>14</w:t>
      </w:r>
      <w:r w:rsidRPr="00A95263">
        <w:rPr>
          <w:rFonts w:hAnsi="標楷體" w:hint="eastAsia"/>
          <w:color w:val="auto"/>
          <w:sz w:val="28"/>
          <w:szCs w:val="28"/>
        </w:rPr>
        <w:t>人</w:t>
      </w:r>
    </w:p>
    <w:p w14:paraId="7A9114EB" w14:textId="715DCC0F" w:rsidR="00D45A5C" w:rsidRPr="00A95263" w:rsidRDefault="00BC4FAA" w:rsidP="00010555">
      <w:pPr>
        <w:pStyle w:val="Default"/>
        <w:spacing w:line="360" w:lineRule="exact"/>
        <w:ind w:left="1400" w:hangingChars="500" w:hanging="1400"/>
        <w:jc w:val="both"/>
        <w:rPr>
          <w:rFonts w:hAnsi="標楷體"/>
          <w:color w:val="auto"/>
          <w:sz w:val="28"/>
          <w:szCs w:val="28"/>
        </w:rPr>
      </w:pPr>
      <w:r w:rsidRPr="00A95263">
        <w:rPr>
          <w:rFonts w:hAnsi="標楷體" w:hint="eastAsia"/>
          <w:color w:val="auto"/>
          <w:sz w:val="28"/>
          <w:szCs w:val="28"/>
        </w:rPr>
        <w:t>列席委員：</w:t>
      </w:r>
      <w:bookmarkStart w:id="6" w:name="_Hlk227740091"/>
      <w:r w:rsidR="00E61DC2" w:rsidRPr="00A95263">
        <w:rPr>
          <w:rFonts w:hAnsi="標楷體" w:hint="eastAsia"/>
          <w:color w:val="auto"/>
          <w:spacing w:val="-16"/>
          <w:sz w:val="28"/>
          <w:szCs w:val="28"/>
        </w:rPr>
        <w:t>伍麗華</w:t>
      </w:r>
      <w:bookmarkEnd w:id="6"/>
      <w:proofErr w:type="spellStart"/>
      <w:r w:rsidR="00E61DC2" w:rsidRPr="00A95263">
        <w:rPr>
          <w:rFonts w:hAnsi="標楷體" w:hint="eastAsia"/>
          <w:color w:val="auto"/>
          <w:spacing w:val="-8"/>
          <w:sz w:val="28"/>
          <w:szCs w:val="28"/>
        </w:rPr>
        <w:t>Saidhai</w:t>
      </w:r>
      <w:proofErr w:type="spellEnd"/>
      <w:proofErr w:type="gramStart"/>
      <w:r w:rsidR="00E61DC2" w:rsidRPr="00A95263">
        <w:rPr>
          <w:rFonts w:hAnsi="標楷體" w:hint="eastAsia"/>
          <w:color w:val="auto"/>
          <w:spacing w:val="-8"/>
          <w:sz w:val="28"/>
          <w:szCs w:val="28"/>
        </w:rPr>
        <w:t>‧</w:t>
      </w:r>
      <w:proofErr w:type="spellStart"/>
      <w:proofErr w:type="gramEnd"/>
      <w:r w:rsidR="00E61DC2" w:rsidRPr="00A95263">
        <w:rPr>
          <w:rFonts w:hAnsi="標楷體" w:hint="eastAsia"/>
          <w:color w:val="auto"/>
          <w:spacing w:val="-8"/>
          <w:sz w:val="28"/>
          <w:szCs w:val="28"/>
        </w:rPr>
        <w:t>Tahovecahe</w:t>
      </w:r>
      <w:proofErr w:type="spellEnd"/>
      <w:r w:rsidR="00E61DC2" w:rsidRPr="00A95263">
        <w:rPr>
          <w:rFonts w:hAnsi="標楷體" w:hint="eastAsia"/>
          <w:color w:val="auto"/>
          <w:sz w:val="28"/>
          <w:szCs w:val="28"/>
        </w:rPr>
        <w:t xml:space="preserve">　林倩綺　何欣純　</w:t>
      </w:r>
      <w:r w:rsidR="00DF7473" w:rsidRPr="00A95263">
        <w:rPr>
          <w:rFonts w:hAnsi="標楷體" w:hint="eastAsia"/>
          <w:color w:val="auto"/>
          <w:sz w:val="28"/>
          <w:szCs w:val="28"/>
        </w:rPr>
        <w:t xml:space="preserve">林思銘　</w:t>
      </w:r>
      <w:proofErr w:type="gramStart"/>
      <w:r w:rsidR="00C448B9" w:rsidRPr="00A95263">
        <w:rPr>
          <w:rFonts w:hAnsi="標楷體" w:hint="eastAsia"/>
          <w:color w:val="auto"/>
          <w:sz w:val="28"/>
          <w:szCs w:val="28"/>
        </w:rPr>
        <w:t>盧</w:t>
      </w:r>
      <w:proofErr w:type="gramEnd"/>
      <w:r w:rsidR="00C448B9" w:rsidRPr="00A95263">
        <w:rPr>
          <w:rFonts w:hAnsi="標楷體" w:hint="eastAsia"/>
          <w:color w:val="auto"/>
          <w:sz w:val="28"/>
          <w:szCs w:val="28"/>
        </w:rPr>
        <w:t>縣</w:t>
      </w:r>
      <w:proofErr w:type="gramStart"/>
      <w:r w:rsidR="00C448B9" w:rsidRPr="00A95263">
        <w:rPr>
          <w:rFonts w:hAnsi="標楷體" w:hint="eastAsia"/>
          <w:color w:val="auto"/>
          <w:sz w:val="28"/>
          <w:szCs w:val="28"/>
        </w:rPr>
        <w:t>一</w:t>
      </w:r>
      <w:bookmarkStart w:id="7" w:name="_Hlk214437195"/>
      <w:proofErr w:type="gramEnd"/>
      <w:r w:rsidR="00C448B9" w:rsidRPr="00A95263">
        <w:rPr>
          <w:rFonts w:hAnsi="標楷體" w:hint="eastAsia"/>
          <w:color w:val="auto"/>
          <w:sz w:val="28"/>
          <w:szCs w:val="28"/>
        </w:rPr>
        <w:t xml:space="preserve">　</w:t>
      </w:r>
      <w:bookmarkEnd w:id="7"/>
      <w:r w:rsidR="00C448B9" w:rsidRPr="00A95263">
        <w:rPr>
          <w:rFonts w:hAnsi="標楷體" w:hint="eastAsia"/>
          <w:color w:val="auto"/>
          <w:spacing w:val="4"/>
          <w:sz w:val="28"/>
          <w:szCs w:val="28"/>
        </w:rPr>
        <w:t xml:space="preserve">葉元之　</w:t>
      </w:r>
      <w:r w:rsidR="00DF7473" w:rsidRPr="00A95263">
        <w:rPr>
          <w:rFonts w:hAnsi="標楷體" w:hint="eastAsia"/>
          <w:color w:val="auto"/>
          <w:spacing w:val="4"/>
          <w:sz w:val="28"/>
          <w:szCs w:val="28"/>
        </w:rPr>
        <w:t xml:space="preserve">柯志恩　</w:t>
      </w:r>
      <w:r w:rsidR="001E222B" w:rsidRPr="00A95263">
        <w:rPr>
          <w:rFonts w:hAnsi="標楷體" w:hint="eastAsia"/>
          <w:color w:val="auto"/>
          <w:spacing w:val="4"/>
          <w:sz w:val="28"/>
          <w:szCs w:val="28"/>
        </w:rPr>
        <w:t xml:space="preserve">劉建國　</w:t>
      </w:r>
      <w:r w:rsidR="004129F1" w:rsidRPr="00A95263">
        <w:rPr>
          <w:rFonts w:hAnsi="標楷體" w:hint="eastAsia"/>
          <w:color w:val="auto"/>
          <w:sz w:val="28"/>
          <w:szCs w:val="28"/>
        </w:rPr>
        <w:t xml:space="preserve">　　　　　</w:t>
      </w:r>
    </w:p>
    <w:p w14:paraId="2ADC7AE7" w14:textId="538D65C4" w:rsidR="00D45A5C" w:rsidRPr="00A95263" w:rsidRDefault="00D45A5C" w:rsidP="00010555">
      <w:pPr>
        <w:pStyle w:val="Default"/>
        <w:spacing w:line="360" w:lineRule="exact"/>
        <w:ind w:leftChars="353" w:left="847" w:firstLineChars="203" w:firstLine="568"/>
        <w:jc w:val="both"/>
        <w:rPr>
          <w:rFonts w:hAnsi="標楷體"/>
          <w:color w:val="auto"/>
          <w:sz w:val="28"/>
          <w:szCs w:val="28"/>
        </w:rPr>
      </w:pPr>
      <w:r w:rsidRPr="00A95263">
        <w:rPr>
          <w:rFonts w:hAnsi="標楷體" w:hint="eastAsia"/>
          <w:color w:val="auto"/>
          <w:sz w:val="28"/>
          <w:szCs w:val="28"/>
        </w:rPr>
        <w:t>委員列席</w:t>
      </w:r>
      <w:r w:rsidR="00CB7EC0" w:rsidRPr="00A95263">
        <w:rPr>
          <w:rFonts w:hAnsi="標楷體" w:hint="eastAsia"/>
          <w:color w:val="auto"/>
          <w:sz w:val="28"/>
          <w:szCs w:val="28"/>
        </w:rPr>
        <w:t>8</w:t>
      </w:r>
      <w:r w:rsidRPr="00A95263">
        <w:rPr>
          <w:rFonts w:hAnsi="標楷體" w:hint="eastAsia"/>
          <w:color w:val="auto"/>
          <w:sz w:val="28"/>
          <w:szCs w:val="28"/>
        </w:rPr>
        <w:t>人</w:t>
      </w:r>
    </w:p>
    <w:p w14:paraId="6A0D7F6D" w14:textId="5BC7FD7C" w:rsidR="00BC4FAA" w:rsidRPr="00A95263" w:rsidRDefault="00BC4FAA" w:rsidP="00010555">
      <w:pPr>
        <w:pStyle w:val="Default"/>
        <w:spacing w:line="360" w:lineRule="exact"/>
        <w:ind w:left="848" w:hangingChars="303" w:hanging="848"/>
        <w:jc w:val="both"/>
        <w:rPr>
          <w:rFonts w:hAnsi="標楷體"/>
          <w:color w:val="auto"/>
          <w:sz w:val="28"/>
          <w:szCs w:val="28"/>
        </w:rPr>
      </w:pPr>
      <w:r w:rsidRPr="00A95263">
        <w:rPr>
          <w:rFonts w:hAnsi="標楷體" w:hint="eastAsia"/>
          <w:color w:val="auto"/>
          <w:sz w:val="28"/>
          <w:szCs w:val="28"/>
        </w:rPr>
        <w:t>列席官員：</w:t>
      </w:r>
      <w:bookmarkStart w:id="8" w:name="_Hlk230973318"/>
      <w:r w:rsidR="004129F1" w:rsidRPr="00A95263">
        <w:rPr>
          <w:rFonts w:hAnsi="標楷體"/>
          <w:b/>
          <w:bCs/>
          <w:color w:val="auto"/>
          <w:sz w:val="28"/>
          <w:szCs w:val="28"/>
        </w:rPr>
        <w:t>115年6月3日（星期三）</w:t>
      </w:r>
      <w:bookmarkEnd w:id="8"/>
    </w:p>
    <w:p w14:paraId="6BD961C9" w14:textId="77777777" w:rsidR="004129F1" w:rsidRPr="00A95263" w:rsidRDefault="004129F1" w:rsidP="00010555">
      <w:pPr>
        <w:pStyle w:val="Default"/>
        <w:spacing w:line="360" w:lineRule="exact"/>
        <w:ind w:firstLineChars="500" w:firstLine="1400"/>
        <w:jc w:val="both"/>
        <w:rPr>
          <w:rFonts w:hAnsi="標楷體"/>
          <w:bCs/>
          <w:color w:val="auto"/>
          <w:sz w:val="28"/>
          <w:szCs w:val="28"/>
        </w:rPr>
      </w:pPr>
      <w:bookmarkStart w:id="9" w:name="_Hlk231368980"/>
      <w:r w:rsidRPr="00A95263">
        <w:rPr>
          <w:rFonts w:hAnsi="標楷體" w:hint="eastAsia"/>
          <w:bCs/>
          <w:color w:val="auto"/>
          <w:sz w:val="28"/>
          <w:szCs w:val="28"/>
        </w:rPr>
        <w:t>經濟部常務次長賴建信</w:t>
      </w:r>
      <w:bookmarkEnd w:id="9"/>
      <w:r w:rsidRPr="00A95263">
        <w:rPr>
          <w:rFonts w:hAnsi="標楷體" w:hint="eastAsia"/>
          <w:bCs/>
          <w:color w:val="auto"/>
          <w:sz w:val="28"/>
          <w:szCs w:val="28"/>
        </w:rPr>
        <w:t>暨相關人員</w:t>
      </w:r>
    </w:p>
    <w:p w14:paraId="0D8939C2" w14:textId="62D0A42E" w:rsidR="004129F1" w:rsidRPr="00A95263" w:rsidRDefault="004129F1" w:rsidP="00010555">
      <w:pPr>
        <w:pStyle w:val="Default"/>
        <w:spacing w:line="360" w:lineRule="exact"/>
        <w:ind w:firstLineChars="500" w:firstLine="1400"/>
        <w:jc w:val="both"/>
        <w:rPr>
          <w:rFonts w:hAnsi="標楷體"/>
          <w:bCs/>
          <w:color w:val="auto"/>
          <w:sz w:val="28"/>
          <w:szCs w:val="28"/>
        </w:rPr>
      </w:pPr>
      <w:r w:rsidRPr="00A95263">
        <w:rPr>
          <w:rFonts w:hAnsi="標楷體" w:hint="eastAsia"/>
          <w:bCs/>
          <w:color w:val="auto"/>
          <w:sz w:val="28"/>
          <w:szCs w:val="28"/>
        </w:rPr>
        <w:t>農業部農村發展及水土保持署</w:t>
      </w:r>
      <w:r w:rsidR="00E61DC2" w:rsidRPr="00A95263">
        <w:rPr>
          <w:rFonts w:hAnsi="標楷體" w:hint="eastAsia"/>
          <w:bCs/>
          <w:color w:val="auto"/>
          <w:sz w:val="28"/>
          <w:szCs w:val="28"/>
        </w:rPr>
        <w:t>副組長</w:t>
      </w:r>
      <w:proofErr w:type="gramStart"/>
      <w:r w:rsidR="00E61DC2" w:rsidRPr="00A95263">
        <w:rPr>
          <w:rFonts w:hAnsi="標楷體" w:hint="eastAsia"/>
          <w:bCs/>
          <w:color w:val="auto"/>
          <w:sz w:val="28"/>
          <w:szCs w:val="28"/>
        </w:rPr>
        <w:t>姜燁</w:t>
      </w:r>
      <w:proofErr w:type="gramEnd"/>
      <w:r w:rsidR="00E61DC2" w:rsidRPr="00A95263">
        <w:rPr>
          <w:rFonts w:hAnsi="標楷體" w:hint="eastAsia"/>
          <w:bCs/>
          <w:color w:val="auto"/>
          <w:sz w:val="28"/>
          <w:szCs w:val="28"/>
        </w:rPr>
        <w:t>秀</w:t>
      </w:r>
    </w:p>
    <w:p w14:paraId="647983F1" w14:textId="456247D8" w:rsidR="004129F1" w:rsidRPr="00A95263" w:rsidRDefault="004129F1" w:rsidP="00010555">
      <w:pPr>
        <w:pStyle w:val="Default"/>
        <w:spacing w:line="360" w:lineRule="exact"/>
        <w:ind w:firstLineChars="500" w:firstLine="1400"/>
        <w:jc w:val="both"/>
        <w:rPr>
          <w:rFonts w:hAnsi="標楷體"/>
          <w:bCs/>
          <w:color w:val="auto"/>
          <w:sz w:val="28"/>
          <w:szCs w:val="28"/>
        </w:rPr>
      </w:pPr>
      <w:r w:rsidRPr="00A95263">
        <w:rPr>
          <w:rFonts w:hAnsi="標楷體" w:hint="eastAsia"/>
          <w:bCs/>
          <w:color w:val="auto"/>
          <w:sz w:val="28"/>
          <w:szCs w:val="28"/>
        </w:rPr>
        <w:t>內政部國土管理署國土計畫組簡任視察曾</w:t>
      </w:r>
      <w:proofErr w:type="gramStart"/>
      <w:r w:rsidRPr="00A95263">
        <w:rPr>
          <w:rFonts w:hAnsi="標楷體" w:hint="eastAsia"/>
          <w:bCs/>
          <w:color w:val="auto"/>
          <w:sz w:val="28"/>
          <w:szCs w:val="28"/>
        </w:rPr>
        <w:t>瀝</w:t>
      </w:r>
      <w:proofErr w:type="gramEnd"/>
      <w:r w:rsidRPr="00A95263">
        <w:rPr>
          <w:rFonts w:hAnsi="標楷體" w:hint="eastAsia"/>
          <w:bCs/>
          <w:color w:val="auto"/>
          <w:sz w:val="28"/>
          <w:szCs w:val="28"/>
        </w:rPr>
        <w:t>儀</w:t>
      </w:r>
    </w:p>
    <w:p w14:paraId="24C7A4CC" w14:textId="234BCC40" w:rsidR="004129F1" w:rsidRPr="00A95263" w:rsidRDefault="004129F1" w:rsidP="00010555">
      <w:pPr>
        <w:pStyle w:val="Default"/>
        <w:spacing w:line="360" w:lineRule="exact"/>
        <w:ind w:firstLineChars="500" w:firstLine="1400"/>
        <w:jc w:val="both"/>
        <w:rPr>
          <w:rFonts w:hAnsi="標楷體"/>
          <w:bCs/>
          <w:color w:val="auto"/>
          <w:sz w:val="28"/>
          <w:szCs w:val="28"/>
        </w:rPr>
      </w:pPr>
      <w:r w:rsidRPr="00A95263">
        <w:rPr>
          <w:rFonts w:hAnsi="標楷體" w:hint="eastAsia"/>
          <w:bCs/>
          <w:color w:val="auto"/>
          <w:sz w:val="28"/>
          <w:szCs w:val="28"/>
        </w:rPr>
        <w:t>環境部環境管理署</w:t>
      </w:r>
      <w:r w:rsidR="00E61DC2" w:rsidRPr="00A95263">
        <w:rPr>
          <w:rFonts w:hAnsi="標楷體" w:hint="eastAsia"/>
          <w:bCs/>
          <w:color w:val="auto"/>
          <w:sz w:val="28"/>
          <w:szCs w:val="28"/>
        </w:rPr>
        <w:t>組長許正雄</w:t>
      </w:r>
    </w:p>
    <w:p w14:paraId="6858DC31" w14:textId="3F14FFA8" w:rsidR="00E61DC2" w:rsidRPr="00A95263" w:rsidRDefault="00E61DC2" w:rsidP="00010555">
      <w:pPr>
        <w:pStyle w:val="Default"/>
        <w:spacing w:line="360" w:lineRule="exact"/>
        <w:ind w:firstLineChars="500" w:firstLine="1400"/>
        <w:jc w:val="both"/>
        <w:rPr>
          <w:rFonts w:hAnsi="標楷體"/>
          <w:bCs/>
          <w:color w:val="auto"/>
          <w:sz w:val="28"/>
          <w:szCs w:val="28"/>
        </w:rPr>
      </w:pPr>
      <w:r w:rsidRPr="00A95263">
        <w:rPr>
          <w:rFonts w:hAnsi="標楷體" w:hint="eastAsia"/>
          <w:bCs/>
          <w:color w:val="auto"/>
          <w:sz w:val="28"/>
          <w:szCs w:val="28"/>
        </w:rPr>
        <w:t>原住民族委員會經濟發展處副處長張信良暨相關人員</w:t>
      </w:r>
    </w:p>
    <w:p w14:paraId="2EFE92B1" w14:textId="221510E5" w:rsidR="004129F1" w:rsidRPr="00A95263" w:rsidRDefault="004129F1" w:rsidP="00010555">
      <w:pPr>
        <w:pStyle w:val="Default"/>
        <w:spacing w:line="360" w:lineRule="exact"/>
        <w:ind w:firstLineChars="500" w:firstLine="1400"/>
        <w:jc w:val="both"/>
        <w:rPr>
          <w:rFonts w:hAnsi="標楷體"/>
          <w:bCs/>
          <w:color w:val="auto"/>
          <w:sz w:val="28"/>
          <w:szCs w:val="28"/>
        </w:rPr>
      </w:pPr>
      <w:r w:rsidRPr="00A95263">
        <w:rPr>
          <w:rFonts w:hAnsi="標楷體" w:hint="eastAsia"/>
          <w:bCs/>
          <w:color w:val="auto"/>
          <w:sz w:val="28"/>
          <w:szCs w:val="28"/>
        </w:rPr>
        <w:t>法務部</w:t>
      </w:r>
      <w:r w:rsidR="00E61DC2" w:rsidRPr="00A95263">
        <w:rPr>
          <w:rFonts w:hAnsi="標楷體" w:hint="eastAsia"/>
          <w:bCs/>
          <w:color w:val="auto"/>
          <w:sz w:val="28"/>
          <w:szCs w:val="28"/>
        </w:rPr>
        <w:t>調部辦事檢察官李芷琪</w:t>
      </w:r>
    </w:p>
    <w:p w14:paraId="3082F015" w14:textId="2F1E0DA7" w:rsidR="004129F1" w:rsidRPr="00A95263" w:rsidRDefault="004129F1" w:rsidP="00010555">
      <w:pPr>
        <w:pStyle w:val="Default"/>
        <w:spacing w:line="360" w:lineRule="exact"/>
        <w:ind w:firstLineChars="500" w:firstLine="1401"/>
        <w:jc w:val="both"/>
        <w:rPr>
          <w:rFonts w:hAnsi="標楷體"/>
          <w:color w:val="auto"/>
          <w:sz w:val="28"/>
          <w:szCs w:val="28"/>
        </w:rPr>
      </w:pPr>
      <w:r w:rsidRPr="00A95263">
        <w:rPr>
          <w:rFonts w:hAnsi="標楷體"/>
          <w:b/>
          <w:bCs/>
          <w:color w:val="auto"/>
          <w:sz w:val="28"/>
          <w:szCs w:val="28"/>
        </w:rPr>
        <w:t>115年6月4日（星期四）</w:t>
      </w:r>
    </w:p>
    <w:p w14:paraId="627B9167" w14:textId="77777777" w:rsidR="004129F1" w:rsidRPr="00A95263" w:rsidRDefault="004129F1" w:rsidP="00010555">
      <w:pPr>
        <w:pStyle w:val="Default"/>
        <w:spacing w:line="360" w:lineRule="exact"/>
        <w:ind w:firstLineChars="500" w:firstLine="1400"/>
        <w:jc w:val="both"/>
        <w:rPr>
          <w:rFonts w:hAnsi="標楷體"/>
          <w:bCs/>
          <w:color w:val="auto"/>
          <w:sz w:val="28"/>
          <w:szCs w:val="28"/>
        </w:rPr>
      </w:pPr>
      <w:bookmarkStart w:id="10" w:name="_Hlk214427570"/>
      <w:r w:rsidRPr="00A95263">
        <w:rPr>
          <w:rFonts w:hAnsi="標楷體" w:hint="eastAsia"/>
          <w:bCs/>
          <w:color w:val="auto"/>
          <w:sz w:val="28"/>
          <w:szCs w:val="28"/>
        </w:rPr>
        <w:t>公平交易委員會代理主任委員陳志民暨相關人員</w:t>
      </w:r>
      <w:bookmarkEnd w:id="10"/>
    </w:p>
    <w:p w14:paraId="4BEBE698" w14:textId="0C787E8B" w:rsidR="004129F1" w:rsidRPr="00A95263" w:rsidRDefault="004129F1" w:rsidP="00010555">
      <w:pPr>
        <w:pStyle w:val="Default"/>
        <w:spacing w:line="360" w:lineRule="exact"/>
        <w:ind w:firstLineChars="500" w:firstLine="1400"/>
        <w:jc w:val="both"/>
        <w:rPr>
          <w:rFonts w:hAnsi="標楷體"/>
          <w:color w:val="auto"/>
          <w:sz w:val="28"/>
          <w:szCs w:val="28"/>
        </w:rPr>
      </w:pPr>
      <w:r w:rsidRPr="00A95263">
        <w:rPr>
          <w:rFonts w:hAnsi="標楷體" w:hint="eastAsia"/>
          <w:bCs/>
          <w:color w:val="auto"/>
          <w:sz w:val="28"/>
          <w:szCs w:val="28"/>
        </w:rPr>
        <w:t>行政院主計總處公務預算處</w:t>
      </w:r>
      <w:r w:rsidR="006507FB" w:rsidRPr="00A95263">
        <w:rPr>
          <w:rFonts w:hAnsi="標楷體" w:hint="eastAsia"/>
          <w:bCs/>
          <w:color w:val="auto"/>
          <w:sz w:val="28"/>
          <w:szCs w:val="28"/>
        </w:rPr>
        <w:t>簡任視察嚴</w:t>
      </w:r>
      <w:proofErr w:type="gramStart"/>
      <w:r w:rsidR="006507FB" w:rsidRPr="00A95263">
        <w:rPr>
          <w:rFonts w:hAnsi="標楷體" w:hint="eastAsia"/>
          <w:bCs/>
          <w:color w:val="auto"/>
          <w:sz w:val="28"/>
          <w:szCs w:val="28"/>
        </w:rPr>
        <w:t>于屏</w:t>
      </w:r>
      <w:r w:rsidRPr="00A95263">
        <w:rPr>
          <w:rFonts w:hAnsi="標楷體" w:hint="eastAsia"/>
          <w:bCs/>
          <w:color w:val="auto"/>
          <w:sz w:val="28"/>
          <w:szCs w:val="28"/>
        </w:rPr>
        <w:t>暨</w:t>
      </w:r>
      <w:proofErr w:type="gramEnd"/>
      <w:r w:rsidRPr="00A95263">
        <w:rPr>
          <w:rFonts w:hAnsi="標楷體" w:hint="eastAsia"/>
          <w:bCs/>
          <w:color w:val="auto"/>
          <w:sz w:val="28"/>
          <w:szCs w:val="28"/>
        </w:rPr>
        <w:t>相關人員</w:t>
      </w:r>
    </w:p>
    <w:p w14:paraId="22DE64DF" w14:textId="59EF49B7" w:rsidR="00BC4FAA" w:rsidRPr="00A95263" w:rsidRDefault="00BC4FAA" w:rsidP="00010555">
      <w:pPr>
        <w:pStyle w:val="Default"/>
        <w:spacing w:line="360" w:lineRule="exact"/>
        <w:ind w:left="848" w:hangingChars="303" w:hanging="848"/>
        <w:jc w:val="both"/>
        <w:rPr>
          <w:rFonts w:hAnsi="標楷體"/>
          <w:color w:val="auto"/>
          <w:sz w:val="28"/>
          <w:szCs w:val="28"/>
        </w:rPr>
      </w:pPr>
      <w:r w:rsidRPr="00A95263">
        <w:rPr>
          <w:rFonts w:hAnsi="標楷體" w:hint="eastAsia"/>
          <w:color w:val="auto"/>
          <w:sz w:val="28"/>
          <w:szCs w:val="28"/>
        </w:rPr>
        <w:t>主</w:t>
      </w:r>
      <w:r w:rsidR="00D45A5C" w:rsidRPr="00A95263">
        <w:rPr>
          <w:rFonts w:hAnsi="標楷體" w:hint="eastAsia"/>
          <w:color w:val="auto"/>
          <w:sz w:val="28"/>
          <w:szCs w:val="28"/>
        </w:rPr>
        <w:t xml:space="preserve">　　</w:t>
      </w:r>
      <w:r w:rsidRPr="00A95263">
        <w:rPr>
          <w:rFonts w:hAnsi="標楷體" w:hint="eastAsia"/>
          <w:color w:val="auto"/>
          <w:sz w:val="28"/>
          <w:szCs w:val="28"/>
        </w:rPr>
        <w:t>席：</w:t>
      </w:r>
      <w:bookmarkStart w:id="11" w:name="主席"/>
      <w:bookmarkEnd w:id="11"/>
      <w:r w:rsidR="001454C4" w:rsidRPr="00A95263">
        <w:rPr>
          <w:rFonts w:hAnsi="標楷體" w:hint="eastAsia"/>
          <w:color w:val="auto"/>
          <w:sz w:val="28"/>
          <w:szCs w:val="28"/>
        </w:rPr>
        <w:t>召集委員洪毓祥</w:t>
      </w:r>
    </w:p>
    <w:p w14:paraId="48D0848C" w14:textId="77777777" w:rsidR="00BC4FAA" w:rsidRPr="00A95263" w:rsidRDefault="00BC4FAA" w:rsidP="00010555">
      <w:pPr>
        <w:pStyle w:val="Default"/>
        <w:spacing w:line="360" w:lineRule="exact"/>
        <w:ind w:left="848" w:hangingChars="303" w:hanging="848"/>
        <w:jc w:val="both"/>
        <w:rPr>
          <w:rFonts w:hAnsi="標楷體"/>
          <w:color w:val="auto"/>
          <w:sz w:val="28"/>
          <w:szCs w:val="28"/>
        </w:rPr>
      </w:pPr>
      <w:r w:rsidRPr="00A95263">
        <w:rPr>
          <w:rFonts w:hAnsi="標楷體" w:hint="eastAsia"/>
          <w:color w:val="auto"/>
          <w:sz w:val="28"/>
          <w:szCs w:val="28"/>
        </w:rPr>
        <w:t>專門委員：</w:t>
      </w:r>
      <w:bookmarkStart w:id="12" w:name="專門委員"/>
      <w:bookmarkEnd w:id="12"/>
      <w:r w:rsidR="001454C4" w:rsidRPr="00A95263">
        <w:rPr>
          <w:rFonts w:hAnsi="標楷體" w:hint="eastAsia"/>
          <w:color w:val="auto"/>
          <w:sz w:val="28"/>
          <w:szCs w:val="28"/>
        </w:rPr>
        <w:t>陳信瑞</w:t>
      </w:r>
    </w:p>
    <w:p w14:paraId="0279B7EB" w14:textId="77777777" w:rsidR="00BC4FAA" w:rsidRPr="00A95263" w:rsidRDefault="00BC4FAA" w:rsidP="00010555">
      <w:pPr>
        <w:pStyle w:val="Default"/>
        <w:spacing w:line="360" w:lineRule="exact"/>
        <w:ind w:left="848" w:hangingChars="303" w:hanging="848"/>
        <w:jc w:val="both"/>
        <w:rPr>
          <w:rFonts w:hAnsi="標楷體"/>
          <w:color w:val="auto"/>
          <w:sz w:val="28"/>
          <w:szCs w:val="28"/>
        </w:rPr>
      </w:pPr>
      <w:r w:rsidRPr="00A95263">
        <w:rPr>
          <w:rFonts w:hAnsi="標楷體" w:hint="eastAsia"/>
          <w:color w:val="auto"/>
          <w:sz w:val="28"/>
          <w:szCs w:val="28"/>
        </w:rPr>
        <w:t>主任秘書：</w:t>
      </w:r>
      <w:bookmarkStart w:id="13" w:name="主任秘書"/>
      <w:bookmarkEnd w:id="13"/>
      <w:r w:rsidR="001454C4" w:rsidRPr="00A95263">
        <w:rPr>
          <w:rFonts w:hAnsi="標楷體" w:hint="eastAsia"/>
          <w:color w:val="auto"/>
          <w:sz w:val="28"/>
          <w:szCs w:val="28"/>
        </w:rPr>
        <w:t>游千慧</w:t>
      </w:r>
    </w:p>
    <w:p w14:paraId="129169AC" w14:textId="2B0A8C00" w:rsidR="00BC4FAA" w:rsidRPr="00A95263" w:rsidRDefault="00BC4FAA" w:rsidP="00010555">
      <w:pPr>
        <w:pStyle w:val="Default"/>
        <w:tabs>
          <w:tab w:val="left" w:pos="5529"/>
        </w:tabs>
        <w:spacing w:line="360" w:lineRule="exact"/>
        <w:ind w:left="848" w:hangingChars="303" w:hanging="848"/>
        <w:jc w:val="both"/>
        <w:rPr>
          <w:rFonts w:hAnsi="標楷體"/>
          <w:color w:val="auto"/>
          <w:sz w:val="28"/>
          <w:szCs w:val="28"/>
        </w:rPr>
      </w:pPr>
      <w:r w:rsidRPr="00A95263">
        <w:rPr>
          <w:rFonts w:hAnsi="標楷體" w:hint="eastAsia"/>
          <w:color w:val="auto"/>
          <w:sz w:val="28"/>
          <w:szCs w:val="28"/>
        </w:rPr>
        <w:t>紀</w:t>
      </w:r>
      <w:r w:rsidR="008C02AF" w:rsidRPr="00A95263">
        <w:rPr>
          <w:rFonts w:hAnsi="標楷體" w:hint="eastAsia"/>
          <w:color w:val="auto"/>
          <w:sz w:val="28"/>
          <w:szCs w:val="28"/>
        </w:rPr>
        <w:t xml:space="preserve">　　</w:t>
      </w:r>
      <w:r w:rsidRPr="00A95263">
        <w:rPr>
          <w:rFonts w:hAnsi="標楷體" w:hint="eastAsia"/>
          <w:color w:val="auto"/>
          <w:sz w:val="28"/>
          <w:szCs w:val="28"/>
        </w:rPr>
        <w:t>錄：</w:t>
      </w:r>
      <w:r w:rsidR="008C02AF" w:rsidRPr="00A95263">
        <w:rPr>
          <w:rFonts w:hAnsi="標楷體" w:hint="eastAsia"/>
          <w:color w:val="auto"/>
          <w:sz w:val="28"/>
          <w:szCs w:val="28"/>
        </w:rPr>
        <w:t xml:space="preserve">簡任秘書　</w:t>
      </w:r>
      <w:bookmarkStart w:id="14" w:name="簡任秘書"/>
      <w:bookmarkEnd w:id="14"/>
      <w:r w:rsidR="001454C4" w:rsidRPr="00A95263">
        <w:rPr>
          <w:rFonts w:hAnsi="標楷體" w:hint="eastAsia"/>
          <w:color w:val="auto"/>
          <w:sz w:val="28"/>
          <w:szCs w:val="28"/>
        </w:rPr>
        <w:t>吳人寬</w:t>
      </w:r>
      <w:r w:rsidR="008C02AF" w:rsidRPr="00A95263">
        <w:rPr>
          <w:rFonts w:hAnsi="標楷體"/>
          <w:color w:val="auto"/>
          <w:sz w:val="28"/>
          <w:szCs w:val="28"/>
        </w:rPr>
        <w:tab/>
      </w:r>
      <w:r w:rsidR="008C02AF" w:rsidRPr="00A95263">
        <w:rPr>
          <w:rFonts w:hAnsi="標楷體" w:hint="eastAsia"/>
          <w:color w:val="auto"/>
          <w:sz w:val="28"/>
          <w:szCs w:val="28"/>
        </w:rPr>
        <w:t xml:space="preserve">簡任編審　</w:t>
      </w:r>
      <w:bookmarkStart w:id="15" w:name="簡任編審"/>
      <w:bookmarkEnd w:id="15"/>
      <w:r w:rsidR="001454C4" w:rsidRPr="00A95263">
        <w:rPr>
          <w:rFonts w:hAnsi="標楷體" w:hint="eastAsia"/>
          <w:color w:val="auto"/>
          <w:sz w:val="28"/>
          <w:szCs w:val="28"/>
        </w:rPr>
        <w:t>葉  蘭</w:t>
      </w:r>
    </w:p>
    <w:p w14:paraId="6F8FA0E8" w14:textId="10C9E0A1" w:rsidR="008C02AF" w:rsidRDefault="008C02AF" w:rsidP="00010555">
      <w:pPr>
        <w:pStyle w:val="Default"/>
        <w:tabs>
          <w:tab w:val="left" w:pos="5529"/>
        </w:tabs>
        <w:spacing w:line="360" w:lineRule="exact"/>
        <w:ind w:leftChars="353" w:left="847" w:firstLineChars="203" w:firstLine="568"/>
        <w:jc w:val="both"/>
        <w:rPr>
          <w:rFonts w:hAnsi="標楷體"/>
          <w:color w:val="auto"/>
          <w:sz w:val="28"/>
          <w:szCs w:val="28"/>
        </w:rPr>
      </w:pPr>
      <w:r w:rsidRPr="00A95263">
        <w:rPr>
          <w:rFonts w:hAnsi="標楷體" w:hint="eastAsia"/>
          <w:color w:val="auto"/>
          <w:sz w:val="28"/>
          <w:szCs w:val="28"/>
        </w:rPr>
        <w:t xml:space="preserve">科　　長　</w:t>
      </w:r>
      <w:bookmarkStart w:id="16" w:name="科長"/>
      <w:bookmarkEnd w:id="16"/>
      <w:r w:rsidR="001454C4" w:rsidRPr="00A95263">
        <w:rPr>
          <w:rFonts w:hAnsi="標楷體" w:hint="eastAsia"/>
          <w:color w:val="auto"/>
          <w:sz w:val="28"/>
          <w:szCs w:val="28"/>
        </w:rPr>
        <w:t>陳卉庭</w:t>
      </w:r>
      <w:r w:rsidRPr="00A95263">
        <w:rPr>
          <w:rFonts w:hAnsi="標楷體"/>
          <w:color w:val="auto"/>
          <w:sz w:val="28"/>
          <w:szCs w:val="28"/>
        </w:rPr>
        <w:tab/>
      </w:r>
      <w:r w:rsidRPr="00A95263">
        <w:rPr>
          <w:rFonts w:hAnsi="標楷體" w:hint="eastAsia"/>
          <w:color w:val="auto"/>
          <w:sz w:val="28"/>
          <w:szCs w:val="28"/>
        </w:rPr>
        <w:t xml:space="preserve">專　　員　</w:t>
      </w:r>
      <w:bookmarkStart w:id="17" w:name="專員"/>
      <w:bookmarkEnd w:id="17"/>
      <w:proofErr w:type="gramStart"/>
      <w:r w:rsidR="001454C4" w:rsidRPr="00A95263">
        <w:rPr>
          <w:rFonts w:hAnsi="標楷體" w:hint="eastAsia"/>
          <w:color w:val="auto"/>
          <w:sz w:val="28"/>
          <w:szCs w:val="28"/>
        </w:rPr>
        <w:t>費添錦</w:t>
      </w:r>
      <w:proofErr w:type="gramEnd"/>
    </w:p>
    <w:p w14:paraId="2BBB3278" w14:textId="1C5E2848" w:rsidR="00FF5432" w:rsidRPr="00A95263" w:rsidRDefault="00FF5432" w:rsidP="00010555">
      <w:pPr>
        <w:pStyle w:val="Default"/>
        <w:tabs>
          <w:tab w:val="left" w:pos="5529"/>
        </w:tabs>
        <w:spacing w:line="360" w:lineRule="exact"/>
        <w:ind w:leftChars="353" w:left="847" w:firstLineChars="203" w:firstLine="568"/>
        <w:jc w:val="both"/>
        <w:rPr>
          <w:rFonts w:hAnsi="標楷體"/>
          <w:color w:val="auto"/>
          <w:sz w:val="28"/>
          <w:szCs w:val="28"/>
        </w:rPr>
      </w:pPr>
      <w:r>
        <w:rPr>
          <w:rFonts w:hAnsi="標楷體" w:hint="eastAsia"/>
          <w:color w:val="auto"/>
          <w:sz w:val="28"/>
          <w:szCs w:val="28"/>
        </w:rPr>
        <w:t>科</w:t>
      </w:r>
      <w:r w:rsidRPr="00FF5432">
        <w:rPr>
          <w:rFonts w:hAnsi="標楷體" w:hint="eastAsia"/>
          <w:color w:val="auto"/>
          <w:sz w:val="28"/>
          <w:szCs w:val="28"/>
        </w:rPr>
        <w:t xml:space="preserve">　　</w:t>
      </w:r>
      <w:r>
        <w:rPr>
          <w:rFonts w:hAnsi="標楷體" w:hint="eastAsia"/>
          <w:color w:val="auto"/>
          <w:sz w:val="28"/>
          <w:szCs w:val="28"/>
        </w:rPr>
        <w:t>員</w:t>
      </w:r>
      <w:r w:rsidRPr="00FF5432">
        <w:rPr>
          <w:rFonts w:hAnsi="標楷體" w:hint="eastAsia"/>
          <w:color w:val="auto"/>
          <w:sz w:val="28"/>
          <w:szCs w:val="28"/>
        </w:rPr>
        <w:t xml:space="preserve">　</w:t>
      </w:r>
      <w:r>
        <w:rPr>
          <w:rFonts w:hAnsi="標楷體" w:hint="eastAsia"/>
          <w:color w:val="auto"/>
          <w:sz w:val="28"/>
          <w:szCs w:val="28"/>
        </w:rPr>
        <w:t>潘宣羽</w:t>
      </w:r>
    </w:p>
    <w:p w14:paraId="78250659" w14:textId="77777777" w:rsidR="00570621" w:rsidRDefault="00570621" w:rsidP="00010555">
      <w:pPr>
        <w:pStyle w:val="Default"/>
        <w:spacing w:line="360" w:lineRule="exact"/>
        <w:ind w:left="849" w:hangingChars="303" w:hanging="849"/>
        <w:jc w:val="both"/>
        <w:rPr>
          <w:rFonts w:hAnsi="標楷體"/>
          <w:b/>
          <w:bCs/>
          <w:color w:val="auto"/>
          <w:sz w:val="28"/>
          <w:szCs w:val="28"/>
        </w:rPr>
      </w:pPr>
      <w:bookmarkStart w:id="18" w:name="開會事由開頭"/>
      <w:bookmarkEnd w:id="18"/>
    </w:p>
    <w:p w14:paraId="1417338E" w14:textId="7436DF64" w:rsidR="001454C4" w:rsidRPr="00A95263" w:rsidRDefault="001454C4" w:rsidP="00010555">
      <w:pPr>
        <w:pStyle w:val="Default"/>
        <w:spacing w:line="360" w:lineRule="exact"/>
        <w:ind w:left="849" w:hangingChars="303" w:hanging="849"/>
        <w:jc w:val="both"/>
        <w:rPr>
          <w:rFonts w:hAnsi="標楷體"/>
          <w:b/>
          <w:bCs/>
          <w:color w:val="auto"/>
          <w:sz w:val="28"/>
          <w:szCs w:val="28"/>
        </w:rPr>
      </w:pPr>
      <w:r w:rsidRPr="00A95263">
        <w:rPr>
          <w:rFonts w:hAnsi="標楷體"/>
          <w:b/>
          <w:bCs/>
          <w:color w:val="auto"/>
          <w:sz w:val="28"/>
          <w:szCs w:val="28"/>
        </w:rPr>
        <w:t>115年6月3日（星期三）</w:t>
      </w:r>
    </w:p>
    <w:p w14:paraId="4134892D" w14:textId="77777777" w:rsidR="00A73824" w:rsidRPr="00A95263" w:rsidRDefault="00A73824" w:rsidP="00010555">
      <w:pPr>
        <w:pStyle w:val="Default"/>
        <w:spacing w:line="360" w:lineRule="exact"/>
        <w:ind w:left="848" w:hangingChars="303" w:hanging="848"/>
        <w:jc w:val="both"/>
        <w:rPr>
          <w:rFonts w:hAnsi="標楷體"/>
          <w:color w:val="auto"/>
          <w:sz w:val="28"/>
          <w:szCs w:val="28"/>
        </w:rPr>
      </w:pPr>
    </w:p>
    <w:p w14:paraId="177F5446" w14:textId="3EFFD08F" w:rsidR="0092611B" w:rsidRPr="00A95263" w:rsidRDefault="00AE3602" w:rsidP="00010555">
      <w:pPr>
        <w:pStyle w:val="Default"/>
        <w:spacing w:line="360" w:lineRule="exact"/>
        <w:ind w:left="849" w:hangingChars="303" w:hanging="849"/>
        <w:jc w:val="both"/>
        <w:rPr>
          <w:rFonts w:hAnsi="標楷體"/>
          <w:b/>
          <w:bCs/>
          <w:color w:val="auto"/>
          <w:sz w:val="28"/>
          <w:szCs w:val="28"/>
        </w:rPr>
      </w:pPr>
      <w:r w:rsidRPr="00A95263">
        <w:rPr>
          <w:rFonts w:hAnsi="標楷體" w:hint="eastAsia"/>
          <w:b/>
          <w:bCs/>
          <w:color w:val="auto"/>
          <w:sz w:val="28"/>
          <w:szCs w:val="28"/>
        </w:rPr>
        <w:t xml:space="preserve">　　　　</w:t>
      </w:r>
      <w:r w:rsidR="00BC4FAA" w:rsidRPr="00A95263">
        <w:rPr>
          <w:rFonts w:hAnsi="標楷體" w:hint="eastAsia"/>
          <w:b/>
          <w:bCs/>
          <w:color w:val="auto"/>
          <w:sz w:val="28"/>
          <w:szCs w:val="28"/>
        </w:rPr>
        <w:t>報告事項</w:t>
      </w:r>
    </w:p>
    <w:p w14:paraId="0AD0BB81" w14:textId="77777777" w:rsidR="00BC4FAA" w:rsidRPr="00A95263" w:rsidRDefault="00067D72" w:rsidP="00010555">
      <w:pPr>
        <w:pStyle w:val="Default"/>
        <w:spacing w:line="360" w:lineRule="exact"/>
        <w:jc w:val="both"/>
        <w:rPr>
          <w:rFonts w:hAnsi="標楷體"/>
          <w:color w:val="auto"/>
          <w:sz w:val="28"/>
          <w:szCs w:val="28"/>
        </w:rPr>
      </w:pPr>
      <w:r w:rsidRPr="00A95263">
        <w:rPr>
          <w:rFonts w:hAnsi="標楷體" w:hint="eastAsia"/>
          <w:color w:val="auto"/>
          <w:sz w:val="28"/>
          <w:szCs w:val="28"/>
        </w:rPr>
        <w:t>宣讀上次會議議事錄。</w:t>
      </w:r>
    </w:p>
    <w:p w14:paraId="04B5EE94" w14:textId="77777777" w:rsidR="00067D72" w:rsidRPr="00A95263" w:rsidRDefault="00067D72" w:rsidP="00010555">
      <w:pPr>
        <w:pStyle w:val="Default"/>
        <w:spacing w:line="360" w:lineRule="exact"/>
        <w:jc w:val="both"/>
        <w:rPr>
          <w:rFonts w:hAnsi="標楷體"/>
          <w:b/>
          <w:bCs/>
          <w:color w:val="auto"/>
          <w:sz w:val="28"/>
          <w:szCs w:val="28"/>
        </w:rPr>
      </w:pPr>
      <w:r w:rsidRPr="00A95263">
        <w:rPr>
          <w:rFonts w:hAnsi="標楷體" w:hint="eastAsia"/>
          <w:b/>
          <w:bCs/>
          <w:color w:val="auto"/>
          <w:sz w:val="28"/>
          <w:szCs w:val="28"/>
        </w:rPr>
        <w:t>決定：確定。</w:t>
      </w:r>
    </w:p>
    <w:p w14:paraId="0B972745" w14:textId="77777777" w:rsidR="00AE3602" w:rsidRPr="00A95263" w:rsidRDefault="00AE3602" w:rsidP="00010555">
      <w:pPr>
        <w:pStyle w:val="Default"/>
        <w:spacing w:line="360" w:lineRule="exact"/>
        <w:ind w:left="849" w:hangingChars="303" w:hanging="849"/>
        <w:jc w:val="both"/>
        <w:rPr>
          <w:rFonts w:hAnsi="標楷體"/>
          <w:b/>
          <w:bCs/>
          <w:color w:val="auto"/>
          <w:sz w:val="28"/>
          <w:szCs w:val="28"/>
        </w:rPr>
      </w:pPr>
    </w:p>
    <w:p w14:paraId="528E4568" w14:textId="667E051D" w:rsidR="00BC4FAA" w:rsidRPr="00A95263" w:rsidRDefault="00AE3602" w:rsidP="00010555">
      <w:pPr>
        <w:pStyle w:val="Default"/>
        <w:spacing w:line="360" w:lineRule="exact"/>
        <w:ind w:left="849" w:hangingChars="303" w:hanging="849"/>
        <w:jc w:val="both"/>
        <w:rPr>
          <w:rFonts w:hAnsi="標楷體"/>
          <w:b/>
          <w:bCs/>
          <w:color w:val="auto"/>
          <w:sz w:val="28"/>
          <w:szCs w:val="28"/>
        </w:rPr>
      </w:pPr>
      <w:r w:rsidRPr="00A95263">
        <w:rPr>
          <w:rFonts w:hAnsi="標楷體" w:hint="eastAsia"/>
          <w:b/>
          <w:bCs/>
          <w:color w:val="auto"/>
          <w:sz w:val="28"/>
          <w:szCs w:val="28"/>
        </w:rPr>
        <w:t xml:space="preserve">　　　　</w:t>
      </w:r>
      <w:r w:rsidR="00BC4FAA" w:rsidRPr="00A95263">
        <w:rPr>
          <w:rFonts w:hAnsi="標楷體" w:hint="eastAsia"/>
          <w:b/>
          <w:bCs/>
          <w:color w:val="auto"/>
          <w:sz w:val="28"/>
          <w:szCs w:val="28"/>
        </w:rPr>
        <w:t>討論事項</w:t>
      </w:r>
    </w:p>
    <w:p w14:paraId="370995FA" w14:textId="08B3287A" w:rsidR="00BC4FAA" w:rsidRPr="00A95263" w:rsidRDefault="00AE3602" w:rsidP="00010555">
      <w:pPr>
        <w:pStyle w:val="a3"/>
        <w:numPr>
          <w:ilvl w:val="0"/>
          <w:numId w:val="6"/>
        </w:numPr>
        <w:spacing w:line="360" w:lineRule="exact"/>
        <w:ind w:leftChars="0"/>
        <w:jc w:val="both"/>
        <w:rPr>
          <w:rFonts w:hAnsi="標楷體"/>
          <w:sz w:val="28"/>
          <w:szCs w:val="28"/>
        </w:rPr>
      </w:pPr>
      <w:r w:rsidRPr="00A95263">
        <w:rPr>
          <w:rFonts w:ascii="標楷體" w:eastAsia="標楷體" w:hAnsi="標楷體" w:cs="標楷體" w:hint="eastAsia"/>
          <w:kern w:val="0"/>
          <w:sz w:val="28"/>
          <w:szCs w:val="28"/>
        </w:rPr>
        <w:t>繼續審查：</w:t>
      </w:r>
    </w:p>
    <w:p w14:paraId="36FB002B" w14:textId="3F83E60E" w:rsidR="00AE3602" w:rsidRPr="00A95263" w:rsidRDefault="00AE3602" w:rsidP="00010555">
      <w:pPr>
        <w:pStyle w:val="Default"/>
        <w:numPr>
          <w:ilvl w:val="1"/>
          <w:numId w:val="6"/>
        </w:numPr>
        <w:spacing w:line="360" w:lineRule="exact"/>
        <w:ind w:left="1049" w:hanging="567"/>
        <w:jc w:val="both"/>
        <w:rPr>
          <w:rFonts w:hAnsi="標楷體"/>
          <w:color w:val="auto"/>
          <w:sz w:val="28"/>
          <w:szCs w:val="28"/>
        </w:rPr>
      </w:pPr>
      <w:r w:rsidRPr="00A95263">
        <w:rPr>
          <w:rFonts w:hAnsi="標楷體" w:hint="eastAsia"/>
          <w:color w:val="auto"/>
          <w:sz w:val="28"/>
          <w:szCs w:val="28"/>
        </w:rPr>
        <w:t>本院委員伍麗華</w:t>
      </w:r>
      <w:proofErr w:type="spellStart"/>
      <w:r w:rsidR="002139AA" w:rsidRPr="002139AA">
        <w:rPr>
          <w:rFonts w:hAnsi="標楷體" w:hint="eastAsia"/>
          <w:color w:val="auto"/>
          <w:spacing w:val="-8"/>
          <w:sz w:val="28"/>
          <w:szCs w:val="28"/>
        </w:rPr>
        <w:t>Saidhai</w:t>
      </w:r>
      <w:proofErr w:type="spellEnd"/>
      <w:proofErr w:type="gramStart"/>
      <w:r w:rsidR="002139AA" w:rsidRPr="002139AA">
        <w:rPr>
          <w:rFonts w:hAnsi="標楷體" w:hint="eastAsia"/>
          <w:color w:val="auto"/>
          <w:spacing w:val="-8"/>
          <w:sz w:val="28"/>
          <w:szCs w:val="28"/>
        </w:rPr>
        <w:t>‧</w:t>
      </w:r>
      <w:proofErr w:type="spellStart"/>
      <w:proofErr w:type="gramEnd"/>
      <w:r w:rsidR="002139AA" w:rsidRPr="002139AA">
        <w:rPr>
          <w:rFonts w:hAnsi="標楷體" w:hint="eastAsia"/>
          <w:color w:val="auto"/>
          <w:spacing w:val="-8"/>
          <w:sz w:val="28"/>
          <w:szCs w:val="28"/>
        </w:rPr>
        <w:t>Tahovecahe</w:t>
      </w:r>
      <w:proofErr w:type="spellEnd"/>
      <w:r w:rsidRPr="00A95263">
        <w:rPr>
          <w:rFonts w:hAnsi="標楷體" w:hint="eastAsia"/>
          <w:color w:val="auto"/>
          <w:sz w:val="28"/>
          <w:szCs w:val="28"/>
        </w:rPr>
        <w:t>等17人擬具「土石採取法第三</w:t>
      </w:r>
      <w:proofErr w:type="gramStart"/>
      <w:r w:rsidRPr="00A95263">
        <w:rPr>
          <w:rFonts w:hAnsi="標楷體" w:hint="eastAsia"/>
          <w:color w:val="auto"/>
          <w:sz w:val="28"/>
          <w:szCs w:val="28"/>
        </w:rPr>
        <w:t>條</w:t>
      </w:r>
      <w:proofErr w:type="gramEnd"/>
      <w:r w:rsidRPr="00A95263">
        <w:rPr>
          <w:rFonts w:hAnsi="標楷體" w:hint="eastAsia"/>
          <w:color w:val="auto"/>
          <w:sz w:val="28"/>
          <w:szCs w:val="28"/>
        </w:rPr>
        <w:t>條文修正草案」案。</w:t>
      </w:r>
    </w:p>
    <w:p w14:paraId="56424E62" w14:textId="77777777" w:rsidR="00AE3602" w:rsidRPr="00A95263" w:rsidRDefault="00AE3602" w:rsidP="00010555">
      <w:pPr>
        <w:pStyle w:val="Default"/>
        <w:numPr>
          <w:ilvl w:val="1"/>
          <w:numId w:val="6"/>
        </w:numPr>
        <w:spacing w:line="360" w:lineRule="exact"/>
        <w:ind w:left="1049" w:hanging="567"/>
        <w:jc w:val="both"/>
        <w:rPr>
          <w:rFonts w:hAnsi="標楷體"/>
          <w:color w:val="auto"/>
          <w:sz w:val="28"/>
          <w:szCs w:val="28"/>
        </w:rPr>
      </w:pPr>
      <w:r w:rsidRPr="00A95263">
        <w:rPr>
          <w:rFonts w:hAnsi="標楷體" w:hint="eastAsia"/>
          <w:color w:val="auto"/>
          <w:sz w:val="28"/>
          <w:szCs w:val="28"/>
        </w:rPr>
        <w:t>本院委員黃仁等36人擬具「土石採取法第三條及第十四</w:t>
      </w:r>
      <w:proofErr w:type="gramStart"/>
      <w:r w:rsidRPr="00A95263">
        <w:rPr>
          <w:rFonts w:hAnsi="標楷體" w:hint="eastAsia"/>
          <w:color w:val="auto"/>
          <w:sz w:val="28"/>
          <w:szCs w:val="28"/>
        </w:rPr>
        <w:t>條</w:t>
      </w:r>
      <w:proofErr w:type="gramEnd"/>
      <w:r w:rsidRPr="00A95263">
        <w:rPr>
          <w:rFonts w:hAnsi="標楷體" w:hint="eastAsia"/>
          <w:color w:val="auto"/>
          <w:sz w:val="28"/>
          <w:szCs w:val="28"/>
        </w:rPr>
        <w:t>條文修正</w:t>
      </w:r>
      <w:r w:rsidRPr="00A95263">
        <w:rPr>
          <w:rFonts w:hAnsi="標楷體" w:hint="eastAsia"/>
          <w:color w:val="auto"/>
          <w:sz w:val="28"/>
          <w:szCs w:val="28"/>
        </w:rPr>
        <w:lastRenderedPageBreak/>
        <w:t>草案」案。</w:t>
      </w:r>
    </w:p>
    <w:p w14:paraId="48C5DA7F" w14:textId="77777777" w:rsidR="00AE3602" w:rsidRPr="00A95263" w:rsidRDefault="00AE3602" w:rsidP="00010555">
      <w:pPr>
        <w:pStyle w:val="Default"/>
        <w:numPr>
          <w:ilvl w:val="1"/>
          <w:numId w:val="6"/>
        </w:numPr>
        <w:spacing w:line="360" w:lineRule="exact"/>
        <w:ind w:left="1049" w:hanging="567"/>
        <w:jc w:val="both"/>
        <w:rPr>
          <w:rFonts w:hAnsi="標楷體"/>
          <w:color w:val="auto"/>
          <w:sz w:val="28"/>
          <w:szCs w:val="28"/>
        </w:rPr>
      </w:pPr>
      <w:r w:rsidRPr="00A95263">
        <w:rPr>
          <w:rFonts w:hAnsi="標楷體" w:hint="eastAsia"/>
          <w:color w:val="auto"/>
          <w:sz w:val="28"/>
          <w:szCs w:val="28"/>
        </w:rPr>
        <w:t>本院委員邱議瑩等21人擬具「土石採取法部分條文修正草案」案。</w:t>
      </w:r>
    </w:p>
    <w:p w14:paraId="695C0C42" w14:textId="77777777" w:rsidR="00AE3602" w:rsidRPr="00A95263" w:rsidRDefault="00AE3602" w:rsidP="00010555">
      <w:pPr>
        <w:pStyle w:val="Default"/>
        <w:numPr>
          <w:ilvl w:val="1"/>
          <w:numId w:val="6"/>
        </w:numPr>
        <w:spacing w:line="360" w:lineRule="exact"/>
        <w:ind w:left="1049" w:hanging="567"/>
        <w:jc w:val="both"/>
        <w:rPr>
          <w:rFonts w:hAnsi="標楷體"/>
          <w:color w:val="auto"/>
          <w:sz w:val="28"/>
          <w:szCs w:val="28"/>
        </w:rPr>
      </w:pPr>
      <w:r w:rsidRPr="00A95263">
        <w:rPr>
          <w:rFonts w:hAnsi="標楷體" w:hint="eastAsia"/>
          <w:color w:val="auto"/>
          <w:sz w:val="28"/>
          <w:szCs w:val="28"/>
        </w:rPr>
        <w:t>本院委員賴瑞隆等19人擬具「土石採取法部分條文修正草案」案。</w:t>
      </w:r>
    </w:p>
    <w:p w14:paraId="0B4F1CD1" w14:textId="77777777" w:rsidR="00AE3602" w:rsidRPr="00A95263" w:rsidRDefault="00AE3602" w:rsidP="00010555">
      <w:pPr>
        <w:pStyle w:val="Default"/>
        <w:numPr>
          <w:ilvl w:val="1"/>
          <w:numId w:val="6"/>
        </w:numPr>
        <w:spacing w:line="360" w:lineRule="exact"/>
        <w:ind w:left="1049" w:hanging="567"/>
        <w:jc w:val="both"/>
        <w:rPr>
          <w:rFonts w:hAnsi="標楷體"/>
          <w:color w:val="auto"/>
          <w:sz w:val="28"/>
          <w:szCs w:val="28"/>
        </w:rPr>
      </w:pPr>
      <w:r w:rsidRPr="00A95263">
        <w:rPr>
          <w:rFonts w:hAnsi="標楷體" w:hint="eastAsia"/>
          <w:color w:val="auto"/>
          <w:sz w:val="28"/>
          <w:szCs w:val="28"/>
        </w:rPr>
        <w:t>本院委員許智傑等31人擬具「土石採取法第三十六</w:t>
      </w:r>
      <w:proofErr w:type="gramStart"/>
      <w:r w:rsidRPr="00A95263">
        <w:rPr>
          <w:rFonts w:hAnsi="標楷體" w:hint="eastAsia"/>
          <w:color w:val="auto"/>
          <w:sz w:val="28"/>
          <w:szCs w:val="28"/>
        </w:rPr>
        <w:t>條</w:t>
      </w:r>
      <w:proofErr w:type="gramEnd"/>
      <w:r w:rsidRPr="00A95263">
        <w:rPr>
          <w:rFonts w:hAnsi="標楷體" w:hint="eastAsia"/>
          <w:color w:val="auto"/>
          <w:sz w:val="28"/>
          <w:szCs w:val="28"/>
        </w:rPr>
        <w:t>條文修正草案」案。</w:t>
      </w:r>
    </w:p>
    <w:p w14:paraId="7511336C" w14:textId="77777777" w:rsidR="00AE3602" w:rsidRPr="00A95263" w:rsidRDefault="00AE3602" w:rsidP="00010555">
      <w:pPr>
        <w:pStyle w:val="Default"/>
        <w:numPr>
          <w:ilvl w:val="1"/>
          <w:numId w:val="6"/>
        </w:numPr>
        <w:spacing w:line="360" w:lineRule="exact"/>
        <w:ind w:left="1049" w:hanging="567"/>
        <w:jc w:val="both"/>
        <w:rPr>
          <w:rFonts w:hAnsi="標楷體"/>
          <w:color w:val="auto"/>
          <w:sz w:val="28"/>
          <w:szCs w:val="28"/>
        </w:rPr>
      </w:pPr>
      <w:r w:rsidRPr="00A95263">
        <w:rPr>
          <w:rFonts w:hAnsi="標楷體" w:hint="eastAsia"/>
          <w:color w:val="auto"/>
          <w:sz w:val="28"/>
          <w:szCs w:val="28"/>
        </w:rPr>
        <w:t>本院委員柯志恩等19人擬具「土石採取法第三十六</w:t>
      </w:r>
      <w:proofErr w:type="gramStart"/>
      <w:r w:rsidRPr="00A95263">
        <w:rPr>
          <w:rFonts w:hAnsi="標楷體" w:hint="eastAsia"/>
          <w:color w:val="auto"/>
          <w:sz w:val="28"/>
          <w:szCs w:val="28"/>
        </w:rPr>
        <w:t>條</w:t>
      </w:r>
      <w:proofErr w:type="gramEnd"/>
      <w:r w:rsidRPr="00A95263">
        <w:rPr>
          <w:rFonts w:hAnsi="標楷體" w:hint="eastAsia"/>
          <w:color w:val="auto"/>
          <w:sz w:val="28"/>
          <w:szCs w:val="28"/>
        </w:rPr>
        <w:t>條文修正草案」案。</w:t>
      </w:r>
    </w:p>
    <w:p w14:paraId="2FEEAA99" w14:textId="77777777" w:rsidR="00AE3602" w:rsidRPr="00A95263" w:rsidRDefault="00AE3602" w:rsidP="00010555">
      <w:pPr>
        <w:pStyle w:val="Default"/>
        <w:numPr>
          <w:ilvl w:val="1"/>
          <w:numId w:val="6"/>
        </w:numPr>
        <w:spacing w:line="360" w:lineRule="exact"/>
        <w:ind w:left="1049" w:hanging="567"/>
        <w:jc w:val="both"/>
        <w:rPr>
          <w:rFonts w:hAnsi="標楷體"/>
          <w:color w:val="auto"/>
          <w:sz w:val="28"/>
          <w:szCs w:val="28"/>
        </w:rPr>
      </w:pPr>
      <w:r w:rsidRPr="00A95263">
        <w:rPr>
          <w:rFonts w:hAnsi="標楷體" w:hint="eastAsia"/>
          <w:color w:val="auto"/>
          <w:sz w:val="28"/>
          <w:szCs w:val="28"/>
        </w:rPr>
        <w:t>本院委員邱鎮軍等24人擬具「土石採取法第三十六條、第三十八條及第三十九</w:t>
      </w:r>
      <w:proofErr w:type="gramStart"/>
      <w:r w:rsidRPr="00A95263">
        <w:rPr>
          <w:rFonts w:hAnsi="標楷體" w:hint="eastAsia"/>
          <w:color w:val="auto"/>
          <w:sz w:val="28"/>
          <w:szCs w:val="28"/>
        </w:rPr>
        <w:t>條</w:t>
      </w:r>
      <w:proofErr w:type="gramEnd"/>
      <w:r w:rsidRPr="00A95263">
        <w:rPr>
          <w:rFonts w:hAnsi="標楷體" w:hint="eastAsia"/>
          <w:color w:val="auto"/>
          <w:sz w:val="28"/>
          <w:szCs w:val="28"/>
        </w:rPr>
        <w:t>條文修正草案」案。</w:t>
      </w:r>
    </w:p>
    <w:p w14:paraId="72138CDD" w14:textId="77777777" w:rsidR="00AE3602" w:rsidRPr="00A95263" w:rsidRDefault="00AE3602" w:rsidP="00010555">
      <w:pPr>
        <w:pStyle w:val="Default"/>
        <w:numPr>
          <w:ilvl w:val="1"/>
          <w:numId w:val="6"/>
        </w:numPr>
        <w:spacing w:line="360" w:lineRule="exact"/>
        <w:ind w:left="1049" w:hanging="567"/>
        <w:jc w:val="both"/>
        <w:rPr>
          <w:rFonts w:hAnsi="標楷體"/>
          <w:color w:val="auto"/>
          <w:sz w:val="28"/>
          <w:szCs w:val="28"/>
        </w:rPr>
      </w:pPr>
      <w:r w:rsidRPr="00A95263">
        <w:rPr>
          <w:rFonts w:hAnsi="標楷體" w:hint="eastAsia"/>
          <w:color w:val="auto"/>
          <w:sz w:val="28"/>
          <w:szCs w:val="28"/>
        </w:rPr>
        <w:t>本院委員</w:t>
      </w:r>
      <w:proofErr w:type="gramStart"/>
      <w:r w:rsidRPr="00A95263">
        <w:rPr>
          <w:rFonts w:hAnsi="標楷體" w:hint="eastAsia"/>
          <w:color w:val="auto"/>
          <w:sz w:val="28"/>
          <w:szCs w:val="28"/>
        </w:rPr>
        <w:t>陳亭妃等</w:t>
      </w:r>
      <w:proofErr w:type="gramEnd"/>
      <w:r w:rsidRPr="00A95263">
        <w:rPr>
          <w:rFonts w:hAnsi="標楷體" w:hint="eastAsia"/>
          <w:color w:val="auto"/>
          <w:sz w:val="28"/>
          <w:szCs w:val="28"/>
        </w:rPr>
        <w:t>16人擬具「土石採取法第三十六</w:t>
      </w:r>
      <w:proofErr w:type="gramStart"/>
      <w:r w:rsidRPr="00A95263">
        <w:rPr>
          <w:rFonts w:hAnsi="標楷體" w:hint="eastAsia"/>
          <w:color w:val="auto"/>
          <w:sz w:val="28"/>
          <w:szCs w:val="28"/>
        </w:rPr>
        <w:t>條</w:t>
      </w:r>
      <w:proofErr w:type="gramEnd"/>
      <w:r w:rsidRPr="00A95263">
        <w:rPr>
          <w:rFonts w:hAnsi="標楷體" w:hint="eastAsia"/>
          <w:color w:val="auto"/>
          <w:sz w:val="28"/>
          <w:szCs w:val="28"/>
        </w:rPr>
        <w:t>條文修正草案」案。</w:t>
      </w:r>
    </w:p>
    <w:p w14:paraId="730FFFF4" w14:textId="77777777" w:rsidR="00AE3602" w:rsidRPr="00A95263" w:rsidRDefault="00AE3602" w:rsidP="00010555">
      <w:pPr>
        <w:pStyle w:val="Default"/>
        <w:numPr>
          <w:ilvl w:val="1"/>
          <w:numId w:val="6"/>
        </w:numPr>
        <w:spacing w:line="360" w:lineRule="exact"/>
        <w:ind w:left="1049" w:hanging="567"/>
        <w:jc w:val="both"/>
        <w:rPr>
          <w:rFonts w:hAnsi="標楷體"/>
          <w:color w:val="auto"/>
          <w:sz w:val="28"/>
          <w:szCs w:val="28"/>
        </w:rPr>
      </w:pPr>
      <w:r w:rsidRPr="00A95263">
        <w:rPr>
          <w:rFonts w:hAnsi="標楷體" w:hint="eastAsia"/>
          <w:color w:val="auto"/>
          <w:sz w:val="28"/>
          <w:szCs w:val="28"/>
        </w:rPr>
        <w:t>本院委員丁學忠等16人擬具「土石採取法第三十六</w:t>
      </w:r>
      <w:proofErr w:type="gramStart"/>
      <w:r w:rsidRPr="00A95263">
        <w:rPr>
          <w:rFonts w:hAnsi="標楷體" w:hint="eastAsia"/>
          <w:color w:val="auto"/>
          <w:sz w:val="28"/>
          <w:szCs w:val="28"/>
        </w:rPr>
        <w:t>條</w:t>
      </w:r>
      <w:proofErr w:type="gramEnd"/>
      <w:r w:rsidRPr="00A95263">
        <w:rPr>
          <w:rFonts w:hAnsi="標楷體" w:hint="eastAsia"/>
          <w:color w:val="auto"/>
          <w:sz w:val="28"/>
          <w:szCs w:val="28"/>
        </w:rPr>
        <w:t>條文修正草案」案。</w:t>
      </w:r>
    </w:p>
    <w:p w14:paraId="05CB6094" w14:textId="3FA5B41D" w:rsidR="00BC4FAA" w:rsidRPr="00A95263" w:rsidRDefault="00AE3602" w:rsidP="00010555">
      <w:pPr>
        <w:pStyle w:val="Default"/>
        <w:numPr>
          <w:ilvl w:val="1"/>
          <w:numId w:val="6"/>
        </w:numPr>
        <w:spacing w:line="360" w:lineRule="exact"/>
        <w:ind w:left="1049" w:hanging="567"/>
        <w:jc w:val="both"/>
        <w:rPr>
          <w:rFonts w:hAnsi="標楷體"/>
          <w:color w:val="auto"/>
          <w:sz w:val="28"/>
          <w:szCs w:val="28"/>
        </w:rPr>
      </w:pPr>
      <w:r w:rsidRPr="00A95263">
        <w:rPr>
          <w:rFonts w:hAnsi="標楷體" w:hint="eastAsia"/>
          <w:color w:val="auto"/>
          <w:sz w:val="28"/>
          <w:szCs w:val="28"/>
        </w:rPr>
        <w:t>本院台灣民眾黨黨團擬具「土石採取法第三十六條、第三十八條及第四十一</w:t>
      </w:r>
      <w:proofErr w:type="gramStart"/>
      <w:r w:rsidRPr="00A95263">
        <w:rPr>
          <w:rFonts w:hAnsi="標楷體" w:hint="eastAsia"/>
          <w:color w:val="auto"/>
          <w:sz w:val="28"/>
          <w:szCs w:val="28"/>
        </w:rPr>
        <w:t>條</w:t>
      </w:r>
      <w:proofErr w:type="gramEnd"/>
      <w:r w:rsidRPr="00A95263">
        <w:rPr>
          <w:rFonts w:hAnsi="標楷體" w:hint="eastAsia"/>
          <w:color w:val="auto"/>
          <w:sz w:val="28"/>
          <w:szCs w:val="28"/>
        </w:rPr>
        <w:t>條文修正草案」案。</w:t>
      </w:r>
    </w:p>
    <w:p w14:paraId="52FB86B7" w14:textId="2644751B" w:rsidR="00AE3602" w:rsidRPr="00A95263" w:rsidRDefault="00443870" w:rsidP="00010555">
      <w:pPr>
        <w:pStyle w:val="Default"/>
        <w:numPr>
          <w:ilvl w:val="0"/>
          <w:numId w:val="6"/>
        </w:numPr>
        <w:spacing w:line="360" w:lineRule="exact"/>
        <w:jc w:val="both"/>
        <w:rPr>
          <w:rFonts w:hAnsi="標楷體"/>
          <w:color w:val="auto"/>
          <w:sz w:val="28"/>
          <w:szCs w:val="28"/>
        </w:rPr>
      </w:pPr>
      <w:r w:rsidRPr="00A95263">
        <w:rPr>
          <w:rFonts w:hAnsi="標楷體" w:hint="eastAsia"/>
          <w:color w:val="auto"/>
          <w:sz w:val="28"/>
          <w:szCs w:val="28"/>
        </w:rPr>
        <w:t>審查：</w:t>
      </w:r>
    </w:p>
    <w:p w14:paraId="2FE0260A" w14:textId="77777777" w:rsidR="00443870" w:rsidRPr="00A95263" w:rsidRDefault="00443870" w:rsidP="00010555">
      <w:pPr>
        <w:pStyle w:val="Default"/>
        <w:numPr>
          <w:ilvl w:val="0"/>
          <w:numId w:val="9"/>
        </w:numPr>
        <w:spacing w:line="360" w:lineRule="exact"/>
        <w:jc w:val="both"/>
        <w:rPr>
          <w:rFonts w:hAnsi="標楷體"/>
          <w:color w:val="auto"/>
          <w:sz w:val="28"/>
          <w:szCs w:val="28"/>
        </w:rPr>
      </w:pPr>
      <w:r w:rsidRPr="00A95263">
        <w:rPr>
          <w:rFonts w:hAnsi="標楷體" w:hint="eastAsia"/>
          <w:color w:val="auto"/>
          <w:sz w:val="28"/>
          <w:szCs w:val="28"/>
        </w:rPr>
        <w:t>行政院函請審議「土石採取法第三十六</w:t>
      </w:r>
      <w:proofErr w:type="gramStart"/>
      <w:r w:rsidRPr="00A95263">
        <w:rPr>
          <w:rFonts w:hAnsi="標楷體" w:hint="eastAsia"/>
          <w:color w:val="auto"/>
          <w:sz w:val="28"/>
          <w:szCs w:val="28"/>
        </w:rPr>
        <w:t>條</w:t>
      </w:r>
      <w:proofErr w:type="gramEnd"/>
      <w:r w:rsidRPr="00A95263">
        <w:rPr>
          <w:rFonts w:hAnsi="標楷體" w:hint="eastAsia"/>
          <w:color w:val="auto"/>
          <w:sz w:val="28"/>
          <w:szCs w:val="28"/>
        </w:rPr>
        <w:t>條文修正草案」案。</w:t>
      </w:r>
    </w:p>
    <w:p w14:paraId="45202081" w14:textId="77777777" w:rsidR="00443870" w:rsidRPr="00A95263" w:rsidRDefault="00443870" w:rsidP="00010555">
      <w:pPr>
        <w:pStyle w:val="Default"/>
        <w:numPr>
          <w:ilvl w:val="0"/>
          <w:numId w:val="9"/>
        </w:numPr>
        <w:spacing w:line="360" w:lineRule="exact"/>
        <w:ind w:left="1333" w:hanging="851"/>
        <w:jc w:val="both"/>
        <w:rPr>
          <w:rFonts w:hAnsi="標楷體"/>
          <w:color w:val="auto"/>
          <w:sz w:val="28"/>
          <w:szCs w:val="28"/>
        </w:rPr>
      </w:pPr>
      <w:r w:rsidRPr="00A95263">
        <w:rPr>
          <w:rFonts w:hAnsi="標楷體" w:hint="eastAsia"/>
          <w:color w:val="auto"/>
          <w:sz w:val="28"/>
          <w:szCs w:val="28"/>
        </w:rPr>
        <w:t>本院委員林倩綺等17人擬具「土石採取法第三十六條、第三十八條及第三十九</w:t>
      </w:r>
      <w:proofErr w:type="gramStart"/>
      <w:r w:rsidRPr="00A95263">
        <w:rPr>
          <w:rFonts w:hAnsi="標楷體" w:hint="eastAsia"/>
          <w:color w:val="auto"/>
          <w:sz w:val="28"/>
          <w:szCs w:val="28"/>
        </w:rPr>
        <w:t>條</w:t>
      </w:r>
      <w:proofErr w:type="gramEnd"/>
      <w:r w:rsidRPr="00A95263">
        <w:rPr>
          <w:rFonts w:hAnsi="標楷體" w:hint="eastAsia"/>
          <w:color w:val="auto"/>
          <w:sz w:val="28"/>
          <w:szCs w:val="28"/>
        </w:rPr>
        <w:t>條文修正草案」案。</w:t>
      </w:r>
    </w:p>
    <w:p w14:paraId="7C8BCAA7" w14:textId="77777777" w:rsidR="00443870" w:rsidRPr="00A95263" w:rsidRDefault="00443870" w:rsidP="00010555">
      <w:pPr>
        <w:pStyle w:val="Default"/>
        <w:numPr>
          <w:ilvl w:val="0"/>
          <w:numId w:val="9"/>
        </w:numPr>
        <w:spacing w:line="360" w:lineRule="exact"/>
        <w:ind w:left="1333" w:hanging="851"/>
        <w:jc w:val="both"/>
        <w:rPr>
          <w:rFonts w:hAnsi="標楷體"/>
          <w:color w:val="auto"/>
          <w:sz w:val="28"/>
          <w:szCs w:val="28"/>
        </w:rPr>
      </w:pPr>
      <w:r w:rsidRPr="00A95263">
        <w:rPr>
          <w:rFonts w:hAnsi="標楷體" w:hint="eastAsia"/>
          <w:color w:val="auto"/>
          <w:sz w:val="28"/>
          <w:szCs w:val="28"/>
        </w:rPr>
        <w:t>本院委員鄭天財</w:t>
      </w:r>
      <w:proofErr w:type="spellStart"/>
      <w:r w:rsidRPr="00A95263">
        <w:rPr>
          <w:rFonts w:hAnsi="標楷體" w:hint="eastAsia"/>
          <w:color w:val="auto"/>
          <w:spacing w:val="-8"/>
          <w:sz w:val="28"/>
          <w:szCs w:val="28"/>
        </w:rPr>
        <w:t>Sra</w:t>
      </w:r>
      <w:proofErr w:type="spellEnd"/>
      <w:r w:rsidRPr="00A95263">
        <w:rPr>
          <w:rFonts w:hAnsi="標楷體" w:hint="eastAsia"/>
          <w:color w:val="auto"/>
          <w:spacing w:val="-8"/>
          <w:sz w:val="28"/>
          <w:szCs w:val="28"/>
        </w:rPr>
        <w:t xml:space="preserve"> </w:t>
      </w:r>
      <w:proofErr w:type="spellStart"/>
      <w:r w:rsidRPr="00A95263">
        <w:rPr>
          <w:rFonts w:hAnsi="標楷體" w:hint="eastAsia"/>
          <w:color w:val="auto"/>
          <w:spacing w:val="-8"/>
          <w:sz w:val="28"/>
          <w:szCs w:val="28"/>
        </w:rPr>
        <w:t>Kacaw</w:t>
      </w:r>
      <w:proofErr w:type="spellEnd"/>
      <w:r w:rsidRPr="00A95263">
        <w:rPr>
          <w:rFonts w:hAnsi="標楷體" w:hint="eastAsia"/>
          <w:color w:val="auto"/>
          <w:sz w:val="28"/>
          <w:szCs w:val="28"/>
        </w:rPr>
        <w:t>等16人擬具「土石採取法第三條及第十四</w:t>
      </w:r>
      <w:proofErr w:type="gramStart"/>
      <w:r w:rsidRPr="00A95263">
        <w:rPr>
          <w:rFonts w:hAnsi="標楷體" w:hint="eastAsia"/>
          <w:color w:val="auto"/>
          <w:sz w:val="28"/>
          <w:szCs w:val="28"/>
        </w:rPr>
        <w:t>條</w:t>
      </w:r>
      <w:proofErr w:type="gramEnd"/>
      <w:r w:rsidRPr="00A95263">
        <w:rPr>
          <w:rFonts w:hAnsi="標楷體" w:hint="eastAsia"/>
          <w:color w:val="auto"/>
          <w:sz w:val="28"/>
          <w:szCs w:val="28"/>
        </w:rPr>
        <w:t>條文修正草案」案。</w:t>
      </w:r>
    </w:p>
    <w:p w14:paraId="19EA680C" w14:textId="77777777" w:rsidR="00443870" w:rsidRPr="00A95263" w:rsidRDefault="00443870" w:rsidP="00010555">
      <w:pPr>
        <w:pStyle w:val="Default"/>
        <w:numPr>
          <w:ilvl w:val="0"/>
          <w:numId w:val="9"/>
        </w:numPr>
        <w:spacing w:line="360" w:lineRule="exact"/>
        <w:ind w:left="1333" w:hanging="851"/>
        <w:jc w:val="both"/>
        <w:rPr>
          <w:rFonts w:hAnsi="標楷體"/>
          <w:color w:val="auto"/>
          <w:sz w:val="28"/>
          <w:szCs w:val="28"/>
        </w:rPr>
      </w:pPr>
      <w:r w:rsidRPr="00A95263">
        <w:rPr>
          <w:rFonts w:hAnsi="標楷體" w:hint="eastAsia"/>
          <w:color w:val="auto"/>
          <w:sz w:val="28"/>
          <w:szCs w:val="28"/>
        </w:rPr>
        <w:t>本院委員徐巧芯等16人擬具「土石採取法第三十六</w:t>
      </w:r>
      <w:proofErr w:type="gramStart"/>
      <w:r w:rsidRPr="00A95263">
        <w:rPr>
          <w:rFonts w:hAnsi="標楷體" w:hint="eastAsia"/>
          <w:color w:val="auto"/>
          <w:sz w:val="28"/>
          <w:szCs w:val="28"/>
        </w:rPr>
        <w:t>條</w:t>
      </w:r>
      <w:proofErr w:type="gramEnd"/>
      <w:r w:rsidRPr="00A95263">
        <w:rPr>
          <w:rFonts w:hAnsi="標楷體" w:hint="eastAsia"/>
          <w:color w:val="auto"/>
          <w:sz w:val="28"/>
          <w:szCs w:val="28"/>
        </w:rPr>
        <w:t>條文修正草案」案。</w:t>
      </w:r>
    </w:p>
    <w:p w14:paraId="50A6661B" w14:textId="77777777" w:rsidR="00443870" w:rsidRPr="00A95263" w:rsidRDefault="00443870" w:rsidP="00010555">
      <w:pPr>
        <w:pStyle w:val="Default"/>
        <w:numPr>
          <w:ilvl w:val="0"/>
          <w:numId w:val="9"/>
        </w:numPr>
        <w:spacing w:line="360" w:lineRule="exact"/>
        <w:ind w:left="1333" w:hanging="851"/>
        <w:jc w:val="both"/>
        <w:rPr>
          <w:rFonts w:hAnsi="標楷體"/>
          <w:color w:val="auto"/>
          <w:sz w:val="28"/>
          <w:szCs w:val="28"/>
        </w:rPr>
      </w:pPr>
      <w:r w:rsidRPr="00A95263">
        <w:rPr>
          <w:rFonts w:hAnsi="標楷體" w:hint="eastAsia"/>
          <w:color w:val="auto"/>
          <w:sz w:val="28"/>
          <w:szCs w:val="28"/>
        </w:rPr>
        <w:t>本院委員王鴻薇等19人擬具「土石採取法第三十六</w:t>
      </w:r>
      <w:proofErr w:type="gramStart"/>
      <w:r w:rsidRPr="00A95263">
        <w:rPr>
          <w:rFonts w:hAnsi="標楷體" w:hint="eastAsia"/>
          <w:color w:val="auto"/>
          <w:sz w:val="28"/>
          <w:szCs w:val="28"/>
        </w:rPr>
        <w:t>條</w:t>
      </w:r>
      <w:proofErr w:type="gramEnd"/>
      <w:r w:rsidRPr="00A95263">
        <w:rPr>
          <w:rFonts w:hAnsi="標楷體" w:hint="eastAsia"/>
          <w:color w:val="auto"/>
          <w:sz w:val="28"/>
          <w:szCs w:val="28"/>
        </w:rPr>
        <w:t>條文修正草案」案。</w:t>
      </w:r>
    </w:p>
    <w:p w14:paraId="2B4D477B" w14:textId="1AA7FA2B" w:rsidR="00443870" w:rsidRPr="00A95263" w:rsidRDefault="00443870" w:rsidP="00010555">
      <w:pPr>
        <w:pStyle w:val="Default"/>
        <w:numPr>
          <w:ilvl w:val="0"/>
          <w:numId w:val="9"/>
        </w:numPr>
        <w:spacing w:line="360" w:lineRule="exact"/>
        <w:ind w:left="1333" w:hanging="851"/>
        <w:jc w:val="both"/>
        <w:rPr>
          <w:rFonts w:hAnsi="標楷體"/>
          <w:color w:val="auto"/>
          <w:sz w:val="28"/>
          <w:szCs w:val="28"/>
        </w:rPr>
      </w:pPr>
      <w:r w:rsidRPr="00A95263">
        <w:rPr>
          <w:rFonts w:hAnsi="標楷體" w:hint="eastAsia"/>
          <w:color w:val="auto"/>
          <w:sz w:val="28"/>
          <w:szCs w:val="28"/>
        </w:rPr>
        <w:t>本院委員廖偉翔等21人擬具「土石採取法第三十六</w:t>
      </w:r>
      <w:proofErr w:type="gramStart"/>
      <w:r w:rsidRPr="00A95263">
        <w:rPr>
          <w:rFonts w:hAnsi="標楷體" w:hint="eastAsia"/>
          <w:color w:val="auto"/>
          <w:sz w:val="28"/>
          <w:szCs w:val="28"/>
        </w:rPr>
        <w:t>條</w:t>
      </w:r>
      <w:proofErr w:type="gramEnd"/>
      <w:r w:rsidRPr="00A95263">
        <w:rPr>
          <w:rFonts w:hAnsi="標楷體" w:hint="eastAsia"/>
          <w:color w:val="auto"/>
          <w:sz w:val="28"/>
          <w:szCs w:val="28"/>
        </w:rPr>
        <w:t>條文修正草案」案。</w:t>
      </w:r>
    </w:p>
    <w:p w14:paraId="505B2D54" w14:textId="5A9C8834" w:rsidR="00804E5A" w:rsidRPr="00A95263" w:rsidRDefault="00804E5A" w:rsidP="00010555">
      <w:pPr>
        <w:pStyle w:val="Default"/>
        <w:spacing w:line="360" w:lineRule="exact"/>
        <w:ind w:left="280" w:hangingChars="100" w:hanging="280"/>
        <w:jc w:val="both"/>
        <w:rPr>
          <w:rFonts w:hAnsi="標楷體"/>
          <w:color w:val="auto"/>
          <w:sz w:val="28"/>
          <w:szCs w:val="28"/>
        </w:rPr>
      </w:pPr>
      <w:proofErr w:type="gramStart"/>
      <w:r w:rsidRPr="00A95263">
        <w:rPr>
          <w:rFonts w:hAnsi="標楷體" w:hint="eastAsia"/>
          <w:color w:val="auto"/>
          <w:sz w:val="28"/>
          <w:szCs w:val="28"/>
        </w:rPr>
        <w:t>（</w:t>
      </w:r>
      <w:proofErr w:type="gramEnd"/>
      <w:r w:rsidRPr="00A95263">
        <w:rPr>
          <w:rFonts w:hAnsi="標楷體" w:hint="eastAsia"/>
          <w:color w:val="auto"/>
          <w:sz w:val="28"/>
          <w:szCs w:val="28"/>
        </w:rPr>
        <w:t>討論事項合併</w:t>
      </w:r>
      <w:proofErr w:type="gramStart"/>
      <w:r w:rsidRPr="00A95263">
        <w:rPr>
          <w:rFonts w:hAnsi="標楷體" w:hint="eastAsia"/>
          <w:color w:val="auto"/>
          <w:sz w:val="28"/>
          <w:szCs w:val="28"/>
        </w:rPr>
        <w:t>詢</w:t>
      </w:r>
      <w:proofErr w:type="gramEnd"/>
      <w:r w:rsidRPr="00A95263">
        <w:rPr>
          <w:rFonts w:hAnsi="標楷體" w:hint="eastAsia"/>
          <w:color w:val="auto"/>
          <w:sz w:val="28"/>
          <w:szCs w:val="28"/>
        </w:rPr>
        <w:t>答。</w:t>
      </w:r>
      <w:r w:rsidR="00755A8C" w:rsidRPr="00A95263">
        <w:rPr>
          <w:rFonts w:hAnsi="標楷體" w:hint="eastAsia"/>
          <w:color w:val="auto"/>
          <w:sz w:val="28"/>
          <w:szCs w:val="28"/>
        </w:rPr>
        <w:t>委員林倩綺說明提案要旨，</w:t>
      </w:r>
      <w:r w:rsidR="00F912F0" w:rsidRPr="00A95263">
        <w:rPr>
          <w:rFonts w:hAnsi="標楷體" w:hint="eastAsia"/>
          <w:bCs/>
          <w:color w:val="auto"/>
          <w:sz w:val="28"/>
          <w:szCs w:val="28"/>
        </w:rPr>
        <w:t>經濟部常務次長賴建信</w:t>
      </w:r>
      <w:r w:rsidRPr="00A95263">
        <w:rPr>
          <w:rFonts w:hAnsi="標楷體" w:hint="eastAsia"/>
          <w:color w:val="auto"/>
          <w:sz w:val="28"/>
          <w:szCs w:val="28"/>
        </w:rPr>
        <w:t>報告後，委員</w:t>
      </w:r>
      <w:r w:rsidR="00F912F0" w:rsidRPr="00A95263">
        <w:rPr>
          <w:rFonts w:hAnsi="標楷體"/>
          <w:color w:val="auto"/>
          <w:sz w:val="28"/>
          <w:szCs w:val="28"/>
        </w:rPr>
        <w:t>鍾佳濱</w:t>
      </w:r>
      <w:r w:rsidRPr="00A95263">
        <w:rPr>
          <w:rFonts w:hAnsi="標楷體" w:hint="eastAsia"/>
          <w:color w:val="auto"/>
          <w:sz w:val="28"/>
          <w:szCs w:val="28"/>
        </w:rPr>
        <w:t>、</w:t>
      </w:r>
      <w:r w:rsidR="00C448B9" w:rsidRPr="00A95263">
        <w:rPr>
          <w:rFonts w:hAnsi="標楷體" w:hint="eastAsia"/>
          <w:color w:val="auto"/>
          <w:sz w:val="28"/>
          <w:szCs w:val="28"/>
        </w:rPr>
        <w:t>賴瑞隆、張嘉郡、陳亭妃、</w:t>
      </w:r>
      <w:r w:rsidRPr="00A95263">
        <w:rPr>
          <w:rFonts w:hAnsi="標楷體" w:hint="eastAsia"/>
          <w:color w:val="auto"/>
          <w:sz w:val="28"/>
          <w:szCs w:val="28"/>
        </w:rPr>
        <w:t>鄭正鈐、</w:t>
      </w:r>
      <w:r w:rsidR="00C448B9" w:rsidRPr="00A95263">
        <w:rPr>
          <w:rFonts w:hAnsi="標楷體" w:hint="eastAsia"/>
          <w:color w:val="auto"/>
          <w:sz w:val="28"/>
          <w:szCs w:val="28"/>
        </w:rPr>
        <w:t>謝衣鳯、呂玉玲、</w:t>
      </w:r>
      <w:r w:rsidR="00F912F0" w:rsidRPr="00A95263">
        <w:rPr>
          <w:rFonts w:hAnsi="標楷體" w:hint="eastAsia"/>
          <w:color w:val="auto"/>
          <w:sz w:val="28"/>
          <w:szCs w:val="28"/>
        </w:rPr>
        <w:t>洪毓祥</w:t>
      </w:r>
      <w:r w:rsidRPr="00A95263">
        <w:rPr>
          <w:rFonts w:hAnsi="標楷體" w:hint="eastAsia"/>
          <w:color w:val="auto"/>
          <w:sz w:val="28"/>
          <w:szCs w:val="28"/>
        </w:rPr>
        <w:t>、</w:t>
      </w:r>
      <w:r w:rsidR="00DD3FB4" w:rsidRPr="00A95263">
        <w:rPr>
          <w:rFonts w:hAnsi="標楷體" w:hint="eastAsia"/>
          <w:color w:val="auto"/>
          <w:sz w:val="28"/>
          <w:szCs w:val="28"/>
        </w:rPr>
        <w:t>楊瓊瓔、</w:t>
      </w:r>
      <w:r w:rsidR="00C448B9" w:rsidRPr="00A95263">
        <w:rPr>
          <w:rFonts w:hAnsi="標楷體" w:hint="eastAsia"/>
          <w:color w:val="auto"/>
          <w:sz w:val="28"/>
          <w:szCs w:val="28"/>
        </w:rPr>
        <w:t>伍麗華、</w:t>
      </w:r>
      <w:r w:rsidR="00DD3FB4" w:rsidRPr="00A95263">
        <w:rPr>
          <w:rFonts w:hAnsi="標楷體" w:hint="eastAsia"/>
          <w:color w:val="auto"/>
          <w:sz w:val="28"/>
          <w:szCs w:val="28"/>
        </w:rPr>
        <w:t>邱志偉</w:t>
      </w:r>
      <w:r w:rsidR="00DF7473" w:rsidRPr="00A95263">
        <w:rPr>
          <w:rFonts w:hAnsi="標楷體" w:hint="eastAsia"/>
          <w:color w:val="auto"/>
          <w:sz w:val="28"/>
          <w:szCs w:val="28"/>
        </w:rPr>
        <w:t>及</w:t>
      </w:r>
      <w:r w:rsidR="00A923D9" w:rsidRPr="00A95263">
        <w:rPr>
          <w:rFonts w:hAnsi="標楷體" w:hint="eastAsia"/>
          <w:color w:val="auto"/>
          <w:sz w:val="28"/>
          <w:szCs w:val="28"/>
        </w:rPr>
        <w:t>蔡易餘</w:t>
      </w:r>
      <w:r w:rsidRPr="00A95263">
        <w:rPr>
          <w:rFonts w:hAnsi="標楷體" w:hint="eastAsia"/>
          <w:color w:val="auto"/>
          <w:sz w:val="28"/>
          <w:szCs w:val="28"/>
        </w:rPr>
        <w:t>等</w:t>
      </w:r>
      <w:r w:rsidRPr="00A95263">
        <w:rPr>
          <w:rFonts w:hAnsi="標楷體"/>
          <w:color w:val="auto"/>
          <w:sz w:val="28"/>
          <w:szCs w:val="28"/>
        </w:rPr>
        <w:t>1</w:t>
      </w:r>
      <w:r w:rsidR="00DF7473" w:rsidRPr="00A95263">
        <w:rPr>
          <w:rFonts w:hAnsi="標楷體"/>
          <w:color w:val="auto"/>
          <w:sz w:val="28"/>
          <w:szCs w:val="28"/>
        </w:rPr>
        <w:t>2</w:t>
      </w:r>
      <w:r w:rsidRPr="00A95263">
        <w:rPr>
          <w:rFonts w:hAnsi="標楷體" w:hint="eastAsia"/>
          <w:color w:val="auto"/>
          <w:sz w:val="28"/>
          <w:szCs w:val="28"/>
        </w:rPr>
        <w:t>人提出質詢，均由</w:t>
      </w:r>
      <w:r w:rsidR="00F912F0" w:rsidRPr="00A95263">
        <w:rPr>
          <w:rFonts w:hAnsi="標楷體" w:hint="eastAsia"/>
          <w:bCs/>
          <w:color w:val="auto"/>
          <w:sz w:val="28"/>
          <w:szCs w:val="28"/>
        </w:rPr>
        <w:t>經濟部常務次長賴建信</w:t>
      </w:r>
      <w:r w:rsidRPr="00A95263">
        <w:rPr>
          <w:rFonts w:hAnsi="標楷體" w:hint="eastAsia"/>
          <w:color w:val="auto"/>
          <w:sz w:val="28"/>
          <w:szCs w:val="28"/>
        </w:rPr>
        <w:t>、</w:t>
      </w:r>
      <w:r w:rsidR="00955EEC" w:rsidRPr="00A95263">
        <w:rPr>
          <w:rFonts w:hAnsi="標楷體" w:hint="eastAsia"/>
          <w:bCs/>
          <w:color w:val="auto"/>
          <w:sz w:val="28"/>
          <w:szCs w:val="28"/>
        </w:rPr>
        <w:t>內政部國土管理署國土計畫組簡任視察曾瀝儀</w:t>
      </w:r>
      <w:r w:rsidR="00DF7473" w:rsidRPr="00A95263">
        <w:rPr>
          <w:rFonts w:hAnsi="標楷體" w:hint="eastAsia"/>
          <w:color w:val="auto"/>
          <w:sz w:val="28"/>
          <w:szCs w:val="28"/>
        </w:rPr>
        <w:t>及</w:t>
      </w:r>
      <w:r w:rsidR="00E43C10" w:rsidRPr="00A95263">
        <w:rPr>
          <w:rFonts w:hAnsi="標楷體" w:hint="eastAsia"/>
          <w:bCs/>
          <w:color w:val="auto"/>
          <w:sz w:val="28"/>
          <w:szCs w:val="28"/>
        </w:rPr>
        <w:t>法務部調部辦事檢察官李芷琪</w:t>
      </w:r>
      <w:r w:rsidRPr="00A95263">
        <w:rPr>
          <w:rFonts w:hAnsi="標楷體" w:hint="eastAsia"/>
          <w:color w:val="auto"/>
          <w:sz w:val="28"/>
          <w:szCs w:val="28"/>
        </w:rPr>
        <w:t>暨相關人員即席答復。登記發言委員除</w:t>
      </w:r>
      <w:proofErr w:type="gramStart"/>
      <w:r w:rsidRPr="00A95263">
        <w:rPr>
          <w:rFonts w:hAnsi="標楷體" w:hint="eastAsia"/>
          <w:color w:val="auto"/>
          <w:sz w:val="28"/>
          <w:szCs w:val="28"/>
        </w:rPr>
        <w:t>不在場者外</w:t>
      </w:r>
      <w:proofErr w:type="gramEnd"/>
      <w:r w:rsidRPr="00A95263">
        <w:rPr>
          <w:rFonts w:hAnsi="標楷體" w:hint="eastAsia"/>
          <w:color w:val="auto"/>
          <w:sz w:val="28"/>
          <w:szCs w:val="28"/>
        </w:rPr>
        <w:t>，</w:t>
      </w:r>
      <w:proofErr w:type="gramStart"/>
      <w:r w:rsidRPr="00A95263">
        <w:rPr>
          <w:rFonts w:hAnsi="標楷體" w:hint="eastAsia"/>
          <w:color w:val="auto"/>
          <w:sz w:val="28"/>
          <w:szCs w:val="28"/>
        </w:rPr>
        <w:t>其餘均已發言</w:t>
      </w:r>
      <w:proofErr w:type="gramEnd"/>
      <w:r w:rsidRPr="00A95263">
        <w:rPr>
          <w:rFonts w:hAnsi="標楷體" w:hint="eastAsia"/>
          <w:color w:val="auto"/>
          <w:sz w:val="28"/>
          <w:szCs w:val="28"/>
        </w:rPr>
        <w:t>完畢，</w:t>
      </w:r>
      <w:proofErr w:type="gramStart"/>
      <w:r w:rsidRPr="00A95263">
        <w:rPr>
          <w:rFonts w:hAnsi="標楷體" w:hint="eastAsia"/>
          <w:color w:val="auto"/>
          <w:sz w:val="28"/>
          <w:szCs w:val="28"/>
        </w:rPr>
        <w:t>詢</w:t>
      </w:r>
      <w:proofErr w:type="gramEnd"/>
      <w:r w:rsidRPr="00A95263">
        <w:rPr>
          <w:rFonts w:hAnsi="標楷體" w:hint="eastAsia"/>
          <w:color w:val="auto"/>
          <w:sz w:val="28"/>
          <w:szCs w:val="28"/>
        </w:rPr>
        <w:t>答結束。委員</w:t>
      </w:r>
      <w:r w:rsidR="00C448B9" w:rsidRPr="00A95263">
        <w:rPr>
          <w:rFonts w:hAnsi="標楷體" w:hint="eastAsia"/>
          <w:color w:val="auto"/>
          <w:sz w:val="28"/>
          <w:szCs w:val="28"/>
        </w:rPr>
        <w:t>邱議瑩、</w:t>
      </w:r>
      <w:r w:rsidR="005124DD" w:rsidRPr="00A95263">
        <w:rPr>
          <w:rFonts w:hAnsi="標楷體" w:hint="eastAsia"/>
          <w:color w:val="auto"/>
          <w:sz w:val="28"/>
          <w:szCs w:val="28"/>
        </w:rPr>
        <w:t>鄭天財</w:t>
      </w:r>
      <w:r w:rsidR="004F1B89" w:rsidRPr="00A95263">
        <w:rPr>
          <w:rFonts w:hAnsi="標楷體" w:hint="eastAsia"/>
          <w:color w:val="auto"/>
          <w:sz w:val="28"/>
          <w:szCs w:val="28"/>
        </w:rPr>
        <w:t>、</w:t>
      </w:r>
      <w:r w:rsidRPr="00A95263">
        <w:rPr>
          <w:rFonts w:hAnsi="標楷體" w:hint="eastAsia"/>
          <w:color w:val="auto"/>
          <w:sz w:val="28"/>
          <w:szCs w:val="28"/>
        </w:rPr>
        <w:t>陳超明</w:t>
      </w:r>
      <w:r w:rsidR="004F1B89" w:rsidRPr="00A95263">
        <w:rPr>
          <w:rFonts w:hAnsi="標楷體" w:hint="eastAsia"/>
          <w:color w:val="auto"/>
          <w:sz w:val="28"/>
          <w:szCs w:val="28"/>
        </w:rPr>
        <w:t>及柯志恩</w:t>
      </w:r>
      <w:r w:rsidRPr="00A95263">
        <w:rPr>
          <w:rFonts w:hAnsi="標楷體" w:hint="eastAsia"/>
          <w:color w:val="auto"/>
          <w:sz w:val="28"/>
          <w:szCs w:val="28"/>
        </w:rPr>
        <w:t>所提書面質詢列入紀錄，刊登公報。書面質詢和未及答復部分請相關單位於1</w:t>
      </w:r>
      <w:proofErr w:type="gramStart"/>
      <w:r w:rsidRPr="00A95263">
        <w:rPr>
          <w:rFonts w:hAnsi="標楷體" w:hint="eastAsia"/>
          <w:color w:val="auto"/>
          <w:sz w:val="28"/>
          <w:szCs w:val="28"/>
        </w:rPr>
        <w:t>週</w:t>
      </w:r>
      <w:proofErr w:type="gramEnd"/>
      <w:r w:rsidRPr="00A95263">
        <w:rPr>
          <w:rFonts w:hAnsi="標楷體" w:hint="eastAsia"/>
          <w:color w:val="auto"/>
          <w:sz w:val="28"/>
          <w:szCs w:val="28"/>
        </w:rPr>
        <w:t>內以書面答復並副知本會，委員另有要求期限者，從其所定。）</w:t>
      </w:r>
    </w:p>
    <w:p w14:paraId="6644CF8D" w14:textId="7D3E0BE4" w:rsidR="00E81A12" w:rsidRPr="00A95263" w:rsidRDefault="00E81A12" w:rsidP="00010555">
      <w:pPr>
        <w:pStyle w:val="Default"/>
        <w:spacing w:line="360" w:lineRule="exact"/>
        <w:ind w:left="846" w:hangingChars="302" w:hanging="846"/>
        <w:jc w:val="both"/>
        <w:rPr>
          <w:rFonts w:hAnsi="標楷體"/>
          <w:b/>
          <w:bCs/>
          <w:color w:val="auto"/>
          <w:sz w:val="28"/>
          <w:szCs w:val="28"/>
        </w:rPr>
      </w:pPr>
      <w:r w:rsidRPr="00A95263">
        <w:rPr>
          <w:rFonts w:hAnsi="標楷體" w:hint="eastAsia"/>
          <w:b/>
          <w:bCs/>
          <w:color w:val="auto"/>
          <w:sz w:val="28"/>
          <w:szCs w:val="28"/>
        </w:rPr>
        <w:t>決議：</w:t>
      </w:r>
    </w:p>
    <w:p w14:paraId="7A3C7ECC" w14:textId="6A90D29E" w:rsidR="001F5D71" w:rsidRDefault="00443870" w:rsidP="007B1812">
      <w:pPr>
        <w:pStyle w:val="Default"/>
        <w:numPr>
          <w:ilvl w:val="0"/>
          <w:numId w:val="10"/>
        </w:numPr>
        <w:spacing w:line="360" w:lineRule="exact"/>
        <w:ind w:leftChars="116" w:left="852" w:hangingChars="205" w:hanging="574"/>
        <w:jc w:val="both"/>
        <w:rPr>
          <w:rFonts w:hAnsi="標楷體"/>
          <w:color w:val="auto"/>
          <w:sz w:val="28"/>
          <w:szCs w:val="28"/>
        </w:rPr>
      </w:pPr>
      <w:r w:rsidRPr="00A95263">
        <w:rPr>
          <w:rFonts w:hAnsi="標楷體" w:hint="eastAsia"/>
          <w:color w:val="auto"/>
          <w:sz w:val="28"/>
          <w:szCs w:val="28"/>
        </w:rPr>
        <w:t>第</w:t>
      </w:r>
      <w:r w:rsidR="004D6747" w:rsidRPr="00A95263">
        <w:rPr>
          <w:rFonts w:hAnsi="標楷體" w:hint="eastAsia"/>
          <w:color w:val="auto"/>
          <w:sz w:val="28"/>
          <w:szCs w:val="28"/>
        </w:rPr>
        <w:t>三</w:t>
      </w:r>
      <w:r w:rsidRPr="00A95263">
        <w:rPr>
          <w:rFonts w:hAnsi="標楷體" w:hint="eastAsia"/>
          <w:color w:val="auto"/>
          <w:sz w:val="28"/>
          <w:szCs w:val="28"/>
        </w:rPr>
        <w:t>條條文，</w:t>
      </w:r>
      <w:r w:rsidR="001F5D71" w:rsidRPr="00A95263">
        <w:rPr>
          <w:rFonts w:hAnsi="標楷體" w:hint="eastAsia"/>
          <w:color w:val="auto"/>
          <w:sz w:val="28"/>
          <w:szCs w:val="28"/>
        </w:rPr>
        <w:t>照委員</w:t>
      </w:r>
      <w:r w:rsidR="007B1812" w:rsidRPr="00A95263">
        <w:rPr>
          <w:rFonts w:hAnsi="標楷體"/>
          <w:color w:val="auto"/>
          <w:sz w:val="28"/>
          <w:szCs w:val="28"/>
        </w:rPr>
        <w:t>鍾佳濱</w:t>
      </w:r>
      <w:r w:rsidR="001F5D71" w:rsidRPr="00A95263">
        <w:rPr>
          <w:rFonts w:hAnsi="標楷體" w:hint="eastAsia"/>
          <w:color w:val="auto"/>
          <w:sz w:val="28"/>
          <w:szCs w:val="28"/>
        </w:rPr>
        <w:t>(</w:t>
      </w:r>
      <w:r w:rsidR="007B1812" w:rsidRPr="00A95263">
        <w:rPr>
          <w:rFonts w:hAnsi="標楷體" w:hint="eastAsia"/>
          <w:color w:val="auto"/>
          <w:sz w:val="28"/>
          <w:szCs w:val="28"/>
        </w:rPr>
        <w:t>伍麗華</w:t>
      </w:r>
      <w:r w:rsidR="001F5D71" w:rsidRPr="00A95263">
        <w:rPr>
          <w:rFonts w:hAnsi="標楷體" w:hint="eastAsia"/>
          <w:color w:val="auto"/>
          <w:sz w:val="28"/>
          <w:szCs w:val="28"/>
        </w:rPr>
        <w:t>)等人所提修正動議</w:t>
      </w:r>
      <w:r w:rsidR="00177061" w:rsidRPr="00A95263">
        <w:rPr>
          <w:rFonts w:hAnsi="標楷體" w:hint="eastAsia"/>
          <w:color w:val="auto"/>
          <w:sz w:val="28"/>
          <w:szCs w:val="28"/>
        </w:rPr>
        <w:t>修正</w:t>
      </w:r>
      <w:r w:rsidR="001F5D71" w:rsidRPr="00A95263">
        <w:rPr>
          <w:rFonts w:hAnsi="標楷體" w:hint="eastAsia"/>
          <w:color w:val="auto"/>
          <w:sz w:val="28"/>
          <w:szCs w:val="28"/>
        </w:rPr>
        <w:t>通過</w:t>
      </w:r>
      <w:r w:rsidR="001772D6" w:rsidRPr="00A95263">
        <w:rPr>
          <w:rFonts w:hAnsi="標楷體" w:hint="eastAsia"/>
          <w:color w:val="auto"/>
          <w:sz w:val="28"/>
          <w:szCs w:val="28"/>
        </w:rPr>
        <w:t>，</w:t>
      </w:r>
      <w:r w:rsidR="0000361D">
        <w:rPr>
          <w:rFonts w:hAnsi="標楷體" w:hint="eastAsia"/>
          <w:color w:val="auto"/>
          <w:sz w:val="28"/>
          <w:szCs w:val="28"/>
        </w:rPr>
        <w:t>條文</w:t>
      </w:r>
      <w:r w:rsidR="009316B3">
        <w:rPr>
          <w:rFonts w:hAnsi="標楷體" w:hint="eastAsia"/>
          <w:color w:val="auto"/>
          <w:sz w:val="28"/>
          <w:szCs w:val="28"/>
        </w:rPr>
        <w:t>如下：</w:t>
      </w:r>
    </w:p>
    <w:p w14:paraId="7949B692" w14:textId="071A5F8A" w:rsidR="009316B3" w:rsidRPr="009316B3" w:rsidRDefault="009316B3" w:rsidP="006C2908">
      <w:pPr>
        <w:pStyle w:val="Default"/>
        <w:spacing w:line="360" w:lineRule="exact"/>
        <w:ind w:leftChars="466" w:left="1958" w:hangingChars="300" w:hanging="840"/>
        <w:jc w:val="both"/>
        <w:rPr>
          <w:rFonts w:hAnsi="標楷體"/>
          <w:color w:val="auto"/>
          <w:sz w:val="28"/>
          <w:szCs w:val="28"/>
        </w:rPr>
      </w:pPr>
      <w:r w:rsidRPr="009316B3">
        <w:rPr>
          <w:rFonts w:hAnsi="標楷體" w:hint="eastAsia"/>
          <w:color w:val="auto"/>
          <w:sz w:val="28"/>
          <w:szCs w:val="28"/>
        </w:rPr>
        <w:t xml:space="preserve">第三條　</w:t>
      </w:r>
      <w:r w:rsidR="002314E7" w:rsidRPr="002314E7">
        <w:rPr>
          <w:rFonts w:hAnsi="標楷體" w:hint="eastAsia"/>
          <w:color w:val="auto"/>
          <w:sz w:val="28"/>
          <w:szCs w:val="28"/>
        </w:rPr>
        <w:t xml:space="preserve">　</w:t>
      </w:r>
      <w:r w:rsidRPr="009316B3">
        <w:rPr>
          <w:rFonts w:hAnsi="標楷體" w:hint="eastAsia"/>
          <w:color w:val="auto"/>
          <w:sz w:val="28"/>
          <w:szCs w:val="28"/>
        </w:rPr>
        <w:t>土石採取，應依本法取得土石採取許可。但下列情形，</w:t>
      </w:r>
      <w:r w:rsidRPr="009316B3">
        <w:rPr>
          <w:rFonts w:hAnsi="標楷體" w:hint="eastAsia"/>
          <w:color w:val="auto"/>
          <w:sz w:val="28"/>
          <w:szCs w:val="28"/>
        </w:rPr>
        <w:lastRenderedPageBreak/>
        <w:t>不在此限：</w:t>
      </w:r>
    </w:p>
    <w:p w14:paraId="1BEDF009" w14:textId="77777777" w:rsidR="009316B3" w:rsidRPr="009316B3" w:rsidRDefault="009316B3" w:rsidP="006C2908">
      <w:pPr>
        <w:pStyle w:val="Default"/>
        <w:spacing w:line="360" w:lineRule="exact"/>
        <w:ind w:leftChars="1055" w:left="3061" w:hangingChars="189" w:hanging="529"/>
        <w:jc w:val="both"/>
        <w:rPr>
          <w:rFonts w:hAnsi="標楷體"/>
          <w:color w:val="auto"/>
          <w:sz w:val="28"/>
          <w:szCs w:val="28"/>
        </w:rPr>
      </w:pPr>
      <w:r w:rsidRPr="009316B3">
        <w:rPr>
          <w:rFonts w:hAnsi="標楷體" w:hint="eastAsia"/>
          <w:color w:val="auto"/>
          <w:sz w:val="28"/>
          <w:szCs w:val="28"/>
        </w:rPr>
        <w:t>一、採取少量土石供自用者。</w:t>
      </w:r>
    </w:p>
    <w:p w14:paraId="121E3974" w14:textId="77777777" w:rsidR="009316B3" w:rsidRPr="009316B3" w:rsidRDefault="009316B3" w:rsidP="006C2908">
      <w:pPr>
        <w:pStyle w:val="Default"/>
        <w:spacing w:line="360" w:lineRule="exact"/>
        <w:ind w:leftChars="1055" w:left="3061" w:hangingChars="189" w:hanging="529"/>
        <w:jc w:val="both"/>
        <w:rPr>
          <w:rFonts w:hAnsi="標楷體"/>
          <w:color w:val="auto"/>
          <w:sz w:val="28"/>
          <w:szCs w:val="28"/>
        </w:rPr>
      </w:pPr>
      <w:r w:rsidRPr="009316B3">
        <w:rPr>
          <w:rFonts w:hAnsi="標楷體" w:hint="eastAsia"/>
          <w:color w:val="auto"/>
          <w:sz w:val="28"/>
          <w:szCs w:val="28"/>
        </w:rPr>
        <w:t>二、實施整地與工程就地取材者。</w:t>
      </w:r>
    </w:p>
    <w:p w14:paraId="2C8EC2C0" w14:textId="77777777" w:rsidR="009316B3" w:rsidRPr="009316B3" w:rsidRDefault="009316B3" w:rsidP="006C2908">
      <w:pPr>
        <w:pStyle w:val="Default"/>
        <w:spacing w:line="360" w:lineRule="exact"/>
        <w:ind w:leftChars="1055" w:left="3061" w:hangingChars="189" w:hanging="529"/>
        <w:jc w:val="both"/>
        <w:rPr>
          <w:rFonts w:hAnsi="標楷體"/>
          <w:color w:val="auto"/>
          <w:sz w:val="28"/>
          <w:szCs w:val="28"/>
        </w:rPr>
      </w:pPr>
      <w:r w:rsidRPr="009316B3">
        <w:rPr>
          <w:rFonts w:hAnsi="標楷體" w:hint="eastAsia"/>
          <w:color w:val="auto"/>
          <w:sz w:val="28"/>
          <w:szCs w:val="28"/>
        </w:rPr>
        <w:t>三、礦業權者在礦區內採取同一礦床共生之土石者。</w:t>
      </w:r>
    </w:p>
    <w:p w14:paraId="7BD20EA5" w14:textId="77777777" w:rsidR="009316B3" w:rsidRPr="009316B3" w:rsidRDefault="009316B3" w:rsidP="006C2908">
      <w:pPr>
        <w:pStyle w:val="Default"/>
        <w:spacing w:line="360" w:lineRule="exact"/>
        <w:ind w:leftChars="1055" w:left="3061" w:hangingChars="189" w:hanging="529"/>
        <w:jc w:val="both"/>
        <w:rPr>
          <w:rFonts w:hAnsi="標楷體"/>
          <w:color w:val="auto"/>
          <w:sz w:val="28"/>
          <w:szCs w:val="28"/>
        </w:rPr>
      </w:pPr>
      <w:r w:rsidRPr="009316B3">
        <w:rPr>
          <w:rFonts w:hAnsi="標楷體" w:hint="eastAsia"/>
          <w:color w:val="auto"/>
          <w:sz w:val="28"/>
          <w:szCs w:val="28"/>
        </w:rPr>
        <w:t>四、因天災事變緊急搶修公共工程所需者。</w:t>
      </w:r>
    </w:p>
    <w:p w14:paraId="4488DA69" w14:textId="77777777" w:rsidR="009316B3" w:rsidRPr="009316B3" w:rsidRDefault="009316B3" w:rsidP="006C2908">
      <w:pPr>
        <w:pStyle w:val="Default"/>
        <w:spacing w:line="360" w:lineRule="exact"/>
        <w:ind w:leftChars="1055" w:left="3061" w:hangingChars="189" w:hanging="529"/>
        <w:jc w:val="both"/>
        <w:rPr>
          <w:rFonts w:hAnsi="標楷體"/>
          <w:color w:val="auto"/>
          <w:sz w:val="28"/>
          <w:szCs w:val="28"/>
        </w:rPr>
      </w:pPr>
      <w:r w:rsidRPr="009316B3">
        <w:rPr>
          <w:rFonts w:hAnsi="標楷體" w:hint="eastAsia"/>
          <w:color w:val="auto"/>
          <w:sz w:val="28"/>
          <w:szCs w:val="28"/>
        </w:rPr>
        <w:t>五、政府機關辦理重要工程所需者。</w:t>
      </w:r>
    </w:p>
    <w:p w14:paraId="512FBB65" w14:textId="77777777" w:rsidR="009316B3" w:rsidRPr="009316B3" w:rsidRDefault="009316B3" w:rsidP="006C2908">
      <w:pPr>
        <w:pStyle w:val="Default"/>
        <w:spacing w:line="360" w:lineRule="exact"/>
        <w:ind w:leftChars="1055" w:left="3061" w:hangingChars="189" w:hanging="529"/>
        <w:jc w:val="both"/>
        <w:rPr>
          <w:rFonts w:hAnsi="標楷體"/>
          <w:color w:val="auto"/>
          <w:sz w:val="28"/>
          <w:szCs w:val="28"/>
        </w:rPr>
      </w:pPr>
      <w:r w:rsidRPr="009316B3">
        <w:rPr>
          <w:rFonts w:hAnsi="標楷體" w:hint="eastAsia"/>
          <w:color w:val="auto"/>
          <w:sz w:val="28"/>
          <w:szCs w:val="28"/>
        </w:rPr>
        <w:t>六、磚、</w:t>
      </w:r>
      <w:proofErr w:type="gramStart"/>
      <w:r w:rsidRPr="009316B3">
        <w:rPr>
          <w:rFonts w:hAnsi="標楷體" w:hint="eastAsia"/>
          <w:color w:val="auto"/>
          <w:sz w:val="28"/>
          <w:szCs w:val="28"/>
        </w:rPr>
        <w:t>瓦或窯業</w:t>
      </w:r>
      <w:proofErr w:type="gramEnd"/>
      <w:r w:rsidRPr="009316B3">
        <w:rPr>
          <w:rFonts w:hAnsi="標楷體" w:hint="eastAsia"/>
          <w:color w:val="auto"/>
          <w:sz w:val="28"/>
          <w:szCs w:val="28"/>
        </w:rPr>
        <w:t>，開採土石自用者。</w:t>
      </w:r>
    </w:p>
    <w:p w14:paraId="2F34F5F2" w14:textId="5F26F797" w:rsidR="009316B3" w:rsidRPr="009316B3" w:rsidRDefault="009316B3" w:rsidP="006C2908">
      <w:pPr>
        <w:pStyle w:val="Default"/>
        <w:spacing w:line="360" w:lineRule="exact"/>
        <w:ind w:leftChars="1055" w:left="3092" w:hangingChars="200" w:hanging="560"/>
        <w:jc w:val="both"/>
        <w:rPr>
          <w:rFonts w:hAnsi="標楷體"/>
          <w:color w:val="auto"/>
          <w:sz w:val="28"/>
          <w:szCs w:val="28"/>
        </w:rPr>
      </w:pPr>
      <w:r w:rsidRPr="009316B3">
        <w:rPr>
          <w:rFonts w:hAnsi="標楷體" w:hint="eastAsia"/>
          <w:color w:val="auto"/>
          <w:sz w:val="28"/>
          <w:szCs w:val="28"/>
        </w:rPr>
        <w:t>七、原住民依原住民族基本法第十九條第一項第三款規定採取土石者。</w:t>
      </w:r>
    </w:p>
    <w:p w14:paraId="1DCC201B" w14:textId="2E509F1A" w:rsidR="009316B3" w:rsidRPr="009316B3" w:rsidRDefault="009316B3" w:rsidP="006C2908">
      <w:pPr>
        <w:pStyle w:val="Default"/>
        <w:spacing w:line="360" w:lineRule="exact"/>
        <w:ind w:leftChars="1067" w:left="3051" w:hangingChars="175" w:hanging="490"/>
        <w:jc w:val="both"/>
        <w:rPr>
          <w:rFonts w:hAnsi="標楷體"/>
          <w:color w:val="auto"/>
          <w:sz w:val="28"/>
          <w:szCs w:val="28"/>
        </w:rPr>
      </w:pPr>
      <w:r w:rsidRPr="009316B3">
        <w:rPr>
          <w:rFonts w:hAnsi="標楷體" w:hint="eastAsia"/>
          <w:color w:val="auto"/>
          <w:sz w:val="28"/>
          <w:szCs w:val="28"/>
        </w:rPr>
        <w:t>八、因新（修）建原住民傳統石板屋或</w:t>
      </w:r>
      <w:proofErr w:type="gramStart"/>
      <w:r w:rsidRPr="009316B3">
        <w:rPr>
          <w:rFonts w:hAnsi="標楷體" w:hint="eastAsia"/>
          <w:color w:val="auto"/>
          <w:sz w:val="28"/>
          <w:szCs w:val="28"/>
        </w:rPr>
        <w:t>地下屋</w:t>
      </w:r>
      <w:proofErr w:type="gramEnd"/>
      <w:r w:rsidRPr="009316B3">
        <w:rPr>
          <w:rFonts w:hAnsi="標楷體" w:hint="eastAsia"/>
          <w:color w:val="auto"/>
          <w:sz w:val="28"/>
          <w:szCs w:val="28"/>
        </w:rPr>
        <w:t>等形式之住宅、教會、機關、學校、聚會所或公共設施所需者。</w:t>
      </w:r>
    </w:p>
    <w:p w14:paraId="3AF86175" w14:textId="77777777" w:rsidR="009316B3" w:rsidRPr="009316B3" w:rsidRDefault="009316B3" w:rsidP="006C2908">
      <w:pPr>
        <w:pStyle w:val="Default"/>
        <w:spacing w:line="360" w:lineRule="exact"/>
        <w:ind w:leftChars="1044" w:left="3080" w:hangingChars="205" w:hanging="574"/>
        <w:jc w:val="both"/>
        <w:rPr>
          <w:rFonts w:hAnsi="標楷體"/>
          <w:color w:val="auto"/>
          <w:sz w:val="28"/>
          <w:szCs w:val="28"/>
        </w:rPr>
      </w:pPr>
      <w:r w:rsidRPr="009316B3">
        <w:rPr>
          <w:rFonts w:hAnsi="標楷體" w:hint="eastAsia"/>
          <w:color w:val="auto"/>
          <w:sz w:val="28"/>
          <w:szCs w:val="28"/>
        </w:rPr>
        <w:t>九、原住民族部落實施部落自主災害防救與環境維護所需者。</w:t>
      </w:r>
    </w:p>
    <w:p w14:paraId="522E3A8A" w14:textId="198298CF" w:rsidR="009316B3" w:rsidRPr="00A95263" w:rsidRDefault="009316B3" w:rsidP="006C2908">
      <w:pPr>
        <w:pStyle w:val="Default"/>
        <w:spacing w:line="360" w:lineRule="exact"/>
        <w:ind w:leftChars="799" w:left="1918" w:firstLineChars="209" w:firstLine="585"/>
        <w:jc w:val="both"/>
        <w:rPr>
          <w:rFonts w:hAnsi="標楷體"/>
          <w:color w:val="auto"/>
          <w:sz w:val="28"/>
          <w:szCs w:val="28"/>
        </w:rPr>
      </w:pPr>
      <w:r w:rsidRPr="009316B3">
        <w:rPr>
          <w:rFonts w:hAnsi="標楷體" w:hint="eastAsia"/>
          <w:color w:val="auto"/>
          <w:sz w:val="28"/>
          <w:szCs w:val="28"/>
        </w:rPr>
        <w:t>前項</w:t>
      </w:r>
      <w:proofErr w:type="gramStart"/>
      <w:r w:rsidRPr="009316B3">
        <w:rPr>
          <w:rFonts w:hAnsi="標楷體" w:hint="eastAsia"/>
          <w:color w:val="auto"/>
          <w:sz w:val="28"/>
          <w:szCs w:val="28"/>
        </w:rPr>
        <w:t>各款土石</w:t>
      </w:r>
      <w:proofErr w:type="gramEnd"/>
      <w:r w:rsidRPr="009316B3">
        <w:rPr>
          <w:rFonts w:hAnsi="標楷體" w:hint="eastAsia"/>
          <w:color w:val="auto"/>
          <w:sz w:val="28"/>
          <w:szCs w:val="28"/>
        </w:rPr>
        <w:t>採取地點、面積、數量、期間之管理辦法，由中央主管機關定之；涉及原住民及原住民族部落者，由中央主管機關會同原住民族委員會定之。</w:t>
      </w:r>
    </w:p>
    <w:p w14:paraId="781A60F1" w14:textId="1B2468CF" w:rsidR="00CE0B0E" w:rsidRDefault="00CE0B0E" w:rsidP="007B1812">
      <w:pPr>
        <w:pStyle w:val="Default"/>
        <w:numPr>
          <w:ilvl w:val="0"/>
          <w:numId w:val="10"/>
        </w:numPr>
        <w:spacing w:line="360" w:lineRule="exact"/>
        <w:ind w:leftChars="116" w:left="852" w:hangingChars="205" w:hanging="574"/>
        <w:jc w:val="both"/>
        <w:rPr>
          <w:rFonts w:hAnsi="標楷體"/>
          <w:color w:val="auto"/>
          <w:sz w:val="28"/>
          <w:szCs w:val="28"/>
        </w:rPr>
      </w:pPr>
      <w:r w:rsidRPr="00A95263">
        <w:rPr>
          <w:rFonts w:hAnsi="標楷體" w:hint="eastAsia"/>
          <w:color w:val="auto"/>
          <w:sz w:val="28"/>
          <w:szCs w:val="28"/>
        </w:rPr>
        <w:t>第十四條條文，照委員</w:t>
      </w:r>
      <w:r w:rsidRPr="00A95263">
        <w:rPr>
          <w:rFonts w:hAnsi="標楷體"/>
          <w:color w:val="auto"/>
          <w:sz w:val="28"/>
          <w:szCs w:val="28"/>
        </w:rPr>
        <w:t>鍾佳濱</w:t>
      </w:r>
      <w:r w:rsidRPr="00A95263">
        <w:rPr>
          <w:rFonts w:hAnsi="標楷體" w:hint="eastAsia"/>
          <w:color w:val="auto"/>
          <w:sz w:val="28"/>
          <w:szCs w:val="28"/>
        </w:rPr>
        <w:t>(伍麗華)等人所提修正動議通過</w:t>
      </w:r>
      <w:r w:rsidR="00445DC7" w:rsidRPr="00A95263">
        <w:rPr>
          <w:rFonts w:hAnsi="標楷體" w:hint="eastAsia"/>
          <w:color w:val="auto"/>
          <w:sz w:val="28"/>
          <w:szCs w:val="28"/>
        </w:rPr>
        <w:t>，</w:t>
      </w:r>
      <w:r w:rsidR="0000361D">
        <w:rPr>
          <w:rFonts w:hAnsi="標楷體" w:hint="eastAsia"/>
          <w:color w:val="auto"/>
          <w:sz w:val="28"/>
          <w:szCs w:val="28"/>
        </w:rPr>
        <w:t>條文</w:t>
      </w:r>
      <w:r w:rsidR="009316B3">
        <w:rPr>
          <w:rFonts w:hAnsi="標楷體" w:hint="eastAsia"/>
          <w:color w:val="auto"/>
          <w:sz w:val="28"/>
          <w:szCs w:val="28"/>
        </w:rPr>
        <w:t>如下：</w:t>
      </w:r>
    </w:p>
    <w:p w14:paraId="77965BA1" w14:textId="301C2A34" w:rsidR="009316B3" w:rsidRDefault="009316B3" w:rsidP="00EC765B">
      <w:pPr>
        <w:pStyle w:val="Default"/>
        <w:spacing w:line="360" w:lineRule="exact"/>
        <w:ind w:leftChars="466" w:left="2238" w:hangingChars="400" w:hanging="1120"/>
        <w:jc w:val="both"/>
        <w:rPr>
          <w:rFonts w:hAnsi="標楷體"/>
          <w:color w:val="auto"/>
          <w:sz w:val="28"/>
          <w:szCs w:val="28"/>
        </w:rPr>
      </w:pPr>
      <w:r w:rsidRPr="009316B3">
        <w:rPr>
          <w:rFonts w:hAnsi="標楷體" w:hint="eastAsia"/>
          <w:color w:val="auto"/>
          <w:sz w:val="28"/>
          <w:szCs w:val="28"/>
        </w:rPr>
        <w:t>第十四</w:t>
      </w:r>
      <w:r>
        <w:rPr>
          <w:rFonts w:hAnsi="標楷體" w:hint="eastAsia"/>
          <w:color w:val="auto"/>
          <w:sz w:val="28"/>
          <w:szCs w:val="28"/>
        </w:rPr>
        <w:t>條</w:t>
      </w:r>
      <w:bookmarkStart w:id="19" w:name="_Hlk231567611"/>
      <w:r w:rsidRPr="009316B3">
        <w:rPr>
          <w:rFonts w:hAnsi="標楷體" w:hint="eastAsia"/>
          <w:color w:val="auto"/>
          <w:sz w:val="28"/>
          <w:szCs w:val="28"/>
        </w:rPr>
        <w:t xml:space="preserve">　</w:t>
      </w:r>
      <w:bookmarkEnd w:id="19"/>
      <w:r w:rsidR="006C2908" w:rsidRPr="006C2908">
        <w:rPr>
          <w:rFonts w:hAnsi="標楷體" w:hint="eastAsia"/>
          <w:color w:val="auto"/>
          <w:sz w:val="28"/>
          <w:szCs w:val="28"/>
        </w:rPr>
        <w:t xml:space="preserve">　</w:t>
      </w:r>
      <w:r w:rsidRPr="009316B3">
        <w:rPr>
          <w:rFonts w:hAnsi="標楷體" w:hint="eastAsia"/>
          <w:color w:val="auto"/>
          <w:sz w:val="28"/>
          <w:szCs w:val="28"/>
        </w:rPr>
        <w:t>直轄市、縣（市）主管機關審核申請土石採取許可案時，應會同水利、漁業、水土保持、交通、環境保護、土地使用、管理及其他相關機關實地勘查，經依法審核認無違反主管法令情事者，報經中央主管機關審核後核發土石採取許可證。</w:t>
      </w:r>
    </w:p>
    <w:p w14:paraId="3E449722" w14:textId="4DFE8D6F" w:rsidR="009316B3" w:rsidRPr="00A95263" w:rsidRDefault="009316B3" w:rsidP="00EC765B">
      <w:pPr>
        <w:pStyle w:val="Default"/>
        <w:spacing w:line="360" w:lineRule="exact"/>
        <w:ind w:leftChars="927" w:left="2225" w:firstLineChars="204" w:firstLine="571"/>
        <w:jc w:val="both"/>
        <w:rPr>
          <w:rFonts w:hAnsi="標楷體"/>
          <w:color w:val="auto"/>
          <w:sz w:val="28"/>
          <w:szCs w:val="28"/>
        </w:rPr>
      </w:pPr>
      <w:r w:rsidRPr="009316B3">
        <w:rPr>
          <w:rFonts w:hAnsi="標楷體" w:hint="eastAsia"/>
          <w:color w:val="auto"/>
          <w:sz w:val="28"/>
          <w:szCs w:val="28"/>
        </w:rPr>
        <w:t>前項申請土石採取許可之土地，位於原住民族土地或部落及其周邊一定範圍內之公有土地者，土石採取申請人應依原住民族基本法第二十一條規定辦理。</w:t>
      </w:r>
    </w:p>
    <w:p w14:paraId="6317173F" w14:textId="0B6DD9E7" w:rsidR="00804E5A" w:rsidRDefault="00804E5A" w:rsidP="00010555">
      <w:pPr>
        <w:pStyle w:val="Default"/>
        <w:numPr>
          <w:ilvl w:val="0"/>
          <w:numId w:val="10"/>
        </w:numPr>
        <w:spacing w:line="360" w:lineRule="exact"/>
        <w:ind w:leftChars="116" w:left="852" w:hangingChars="205" w:hanging="574"/>
        <w:jc w:val="both"/>
        <w:rPr>
          <w:rFonts w:hAnsi="標楷體"/>
          <w:color w:val="auto"/>
          <w:sz w:val="28"/>
          <w:szCs w:val="28"/>
        </w:rPr>
      </w:pPr>
      <w:r w:rsidRPr="00A95263">
        <w:rPr>
          <w:rFonts w:hAnsi="標楷體" w:hint="eastAsia"/>
          <w:color w:val="auto"/>
          <w:sz w:val="28"/>
          <w:szCs w:val="28"/>
        </w:rPr>
        <w:t>第</w:t>
      </w:r>
      <w:r w:rsidR="004D6747" w:rsidRPr="00A95263">
        <w:rPr>
          <w:rFonts w:hAnsi="標楷體" w:hint="eastAsia"/>
          <w:color w:val="auto"/>
          <w:sz w:val="28"/>
          <w:szCs w:val="28"/>
        </w:rPr>
        <w:t>三</w:t>
      </w:r>
      <w:r w:rsidRPr="00A95263">
        <w:rPr>
          <w:rFonts w:hAnsi="標楷體" w:hint="eastAsia"/>
          <w:color w:val="auto"/>
          <w:sz w:val="28"/>
          <w:szCs w:val="28"/>
        </w:rPr>
        <w:t>十</w:t>
      </w:r>
      <w:r w:rsidR="004D6747" w:rsidRPr="00A95263">
        <w:rPr>
          <w:rFonts w:hAnsi="標楷體" w:hint="eastAsia"/>
          <w:color w:val="auto"/>
          <w:sz w:val="28"/>
          <w:szCs w:val="28"/>
        </w:rPr>
        <w:t>六</w:t>
      </w:r>
      <w:r w:rsidRPr="00A95263">
        <w:rPr>
          <w:rFonts w:hAnsi="標楷體" w:hint="eastAsia"/>
          <w:color w:val="auto"/>
          <w:sz w:val="28"/>
          <w:szCs w:val="28"/>
        </w:rPr>
        <w:t>條條文，</w:t>
      </w:r>
      <w:r w:rsidR="009D58D6" w:rsidRPr="00A95263">
        <w:rPr>
          <w:rFonts w:hAnsi="標楷體" w:hint="eastAsia"/>
          <w:color w:val="auto"/>
          <w:sz w:val="28"/>
          <w:szCs w:val="28"/>
        </w:rPr>
        <w:t>照行政院提案</w:t>
      </w:r>
      <w:r w:rsidR="00EA37B0">
        <w:rPr>
          <w:rFonts w:hAnsi="標楷體" w:hint="eastAsia"/>
          <w:color w:val="auto"/>
          <w:sz w:val="28"/>
          <w:szCs w:val="28"/>
        </w:rPr>
        <w:t>修正通過，</w:t>
      </w:r>
      <w:r w:rsidR="0000361D">
        <w:rPr>
          <w:rFonts w:hAnsi="標楷體" w:hint="eastAsia"/>
          <w:color w:val="auto"/>
          <w:sz w:val="28"/>
          <w:szCs w:val="28"/>
        </w:rPr>
        <w:t>條文</w:t>
      </w:r>
      <w:r w:rsidR="009D58D6">
        <w:rPr>
          <w:rFonts w:hAnsi="標楷體" w:hint="eastAsia"/>
          <w:color w:val="auto"/>
          <w:sz w:val="28"/>
          <w:szCs w:val="28"/>
        </w:rPr>
        <w:t>如下：</w:t>
      </w:r>
    </w:p>
    <w:p w14:paraId="74842805" w14:textId="4E98A922" w:rsidR="00277EDC" w:rsidRDefault="009D58D6" w:rsidP="00EC765B">
      <w:pPr>
        <w:pStyle w:val="Default"/>
        <w:spacing w:line="360" w:lineRule="exact"/>
        <w:ind w:leftChars="466" w:left="2518" w:hangingChars="500" w:hanging="1400"/>
        <w:jc w:val="both"/>
        <w:rPr>
          <w:rFonts w:hAnsi="標楷體"/>
          <w:color w:val="auto"/>
          <w:sz w:val="28"/>
          <w:szCs w:val="28"/>
        </w:rPr>
      </w:pPr>
      <w:r w:rsidRPr="009D58D6">
        <w:rPr>
          <w:rFonts w:hAnsi="標楷體" w:hint="eastAsia"/>
          <w:color w:val="auto"/>
          <w:sz w:val="28"/>
          <w:szCs w:val="28"/>
        </w:rPr>
        <w:t xml:space="preserve">第三十六條　</w:t>
      </w:r>
      <w:r w:rsidR="00EC765B" w:rsidRPr="00EC765B">
        <w:rPr>
          <w:rFonts w:hAnsi="標楷體" w:hint="eastAsia"/>
          <w:color w:val="auto"/>
          <w:sz w:val="28"/>
          <w:szCs w:val="28"/>
        </w:rPr>
        <w:t xml:space="preserve">　</w:t>
      </w:r>
      <w:r w:rsidRPr="009D58D6">
        <w:rPr>
          <w:rFonts w:hAnsi="標楷體" w:hint="eastAsia"/>
          <w:color w:val="auto"/>
          <w:sz w:val="28"/>
          <w:szCs w:val="28"/>
        </w:rPr>
        <w:t>未經許可採取土石者，處新臺幣</w:t>
      </w:r>
      <w:proofErr w:type="gramStart"/>
      <w:r w:rsidRPr="009D58D6">
        <w:rPr>
          <w:rFonts w:hAnsi="標楷體" w:hint="eastAsia"/>
          <w:color w:val="auto"/>
          <w:sz w:val="28"/>
          <w:szCs w:val="28"/>
        </w:rPr>
        <w:t>一</w:t>
      </w:r>
      <w:proofErr w:type="gramEnd"/>
      <w:r w:rsidRPr="009D58D6">
        <w:rPr>
          <w:rFonts w:hAnsi="標楷體" w:hint="eastAsia"/>
          <w:color w:val="auto"/>
          <w:sz w:val="28"/>
          <w:szCs w:val="28"/>
        </w:rPr>
        <w:t>百萬元以上二千五</w:t>
      </w:r>
      <w:r w:rsidR="00864097">
        <w:rPr>
          <w:rFonts w:hAnsi="標楷體" w:hint="eastAsia"/>
          <w:color w:val="auto"/>
          <w:sz w:val="28"/>
          <w:szCs w:val="28"/>
        </w:rPr>
        <w:t>百萬</w:t>
      </w:r>
      <w:r w:rsidRPr="009D58D6">
        <w:rPr>
          <w:rFonts w:hAnsi="標楷體" w:hint="eastAsia"/>
          <w:color w:val="auto"/>
          <w:sz w:val="28"/>
          <w:szCs w:val="28"/>
        </w:rPr>
        <w:t>元以下罰鍰，並得沒入行為人使用之載運車輛或其他機械設備</w:t>
      </w:r>
      <w:r w:rsidR="00864097">
        <w:rPr>
          <w:rFonts w:hAnsi="標楷體" w:hint="eastAsia"/>
          <w:color w:val="auto"/>
          <w:sz w:val="28"/>
          <w:szCs w:val="28"/>
        </w:rPr>
        <w:t>；</w:t>
      </w:r>
      <w:r w:rsidRPr="009D58D6">
        <w:rPr>
          <w:rFonts w:hAnsi="標楷體" w:hint="eastAsia"/>
          <w:color w:val="auto"/>
          <w:sz w:val="28"/>
          <w:szCs w:val="28"/>
        </w:rPr>
        <w:t>直</w:t>
      </w:r>
      <w:r w:rsidR="00864097">
        <w:rPr>
          <w:rFonts w:hAnsi="標楷體" w:hint="eastAsia"/>
          <w:color w:val="auto"/>
          <w:sz w:val="28"/>
          <w:szCs w:val="28"/>
        </w:rPr>
        <w:t>轄市、</w:t>
      </w:r>
      <w:r w:rsidRPr="009D58D6">
        <w:rPr>
          <w:rFonts w:hAnsi="標楷體" w:hint="eastAsia"/>
          <w:color w:val="auto"/>
          <w:sz w:val="28"/>
          <w:szCs w:val="28"/>
        </w:rPr>
        <w:t>縣（市）主管機關應限期令行為人依第六項規定完成</w:t>
      </w:r>
      <w:proofErr w:type="gramStart"/>
      <w:r w:rsidRPr="009D58D6">
        <w:rPr>
          <w:rFonts w:hAnsi="標楷體" w:hint="eastAsia"/>
          <w:color w:val="auto"/>
          <w:sz w:val="28"/>
          <w:szCs w:val="28"/>
        </w:rPr>
        <w:t>整復該場</w:t>
      </w:r>
      <w:proofErr w:type="gramEnd"/>
      <w:r w:rsidRPr="009D58D6">
        <w:rPr>
          <w:rFonts w:hAnsi="標楷體" w:hint="eastAsia"/>
          <w:color w:val="auto"/>
          <w:sz w:val="28"/>
          <w:szCs w:val="28"/>
        </w:rPr>
        <w:t>址</w:t>
      </w:r>
      <w:r w:rsidR="00864097">
        <w:rPr>
          <w:rFonts w:hAnsi="標楷體" w:hint="eastAsia"/>
          <w:color w:val="auto"/>
          <w:sz w:val="28"/>
          <w:szCs w:val="28"/>
        </w:rPr>
        <w:t>及清除</w:t>
      </w:r>
      <w:r w:rsidRPr="009D58D6">
        <w:rPr>
          <w:rFonts w:hAnsi="標楷體" w:hint="eastAsia"/>
          <w:color w:val="auto"/>
          <w:sz w:val="28"/>
          <w:szCs w:val="28"/>
        </w:rPr>
        <w:t>其設施，屆期未完成者，處新臺幣十萬元以上二百五十萬元以下</w:t>
      </w:r>
      <w:r w:rsidR="00864097">
        <w:rPr>
          <w:rFonts w:hAnsi="標楷體" w:hint="eastAsia"/>
          <w:color w:val="auto"/>
          <w:sz w:val="28"/>
          <w:szCs w:val="28"/>
        </w:rPr>
        <w:t>罰鍰</w:t>
      </w:r>
      <w:r w:rsidRPr="009D58D6">
        <w:rPr>
          <w:rFonts w:hAnsi="標楷體" w:hint="eastAsia"/>
          <w:color w:val="auto"/>
          <w:sz w:val="28"/>
          <w:szCs w:val="28"/>
        </w:rPr>
        <w:t>，並按次處罰。必要時，得由直轄市、縣（市）主管機關代為</w:t>
      </w:r>
      <w:proofErr w:type="gramStart"/>
      <w:r w:rsidRPr="009D58D6">
        <w:rPr>
          <w:rFonts w:hAnsi="標楷體" w:hint="eastAsia"/>
          <w:color w:val="auto"/>
          <w:sz w:val="28"/>
          <w:szCs w:val="28"/>
        </w:rPr>
        <w:t>整復</w:t>
      </w:r>
      <w:r w:rsidR="00864097">
        <w:rPr>
          <w:rFonts w:hAnsi="標楷體" w:hint="eastAsia"/>
          <w:color w:val="auto"/>
          <w:sz w:val="28"/>
          <w:szCs w:val="28"/>
        </w:rPr>
        <w:t>該場</w:t>
      </w:r>
      <w:proofErr w:type="gramEnd"/>
      <w:r w:rsidRPr="009D58D6">
        <w:rPr>
          <w:rFonts w:hAnsi="標楷體" w:hint="eastAsia"/>
          <w:color w:val="auto"/>
          <w:sz w:val="28"/>
          <w:szCs w:val="28"/>
        </w:rPr>
        <w:t>址及清除其設施；其費用，由行為人負擔。</w:t>
      </w:r>
    </w:p>
    <w:p w14:paraId="4B945493" w14:textId="270B3886" w:rsidR="009D58D6" w:rsidRPr="009D58D6" w:rsidRDefault="009D58D6" w:rsidP="00EC765B">
      <w:pPr>
        <w:pStyle w:val="Default"/>
        <w:spacing w:line="360" w:lineRule="exact"/>
        <w:ind w:leftChars="1044" w:left="2506" w:firstLineChars="189" w:firstLine="529"/>
        <w:jc w:val="both"/>
        <w:rPr>
          <w:rFonts w:hAnsi="標楷體"/>
          <w:color w:val="auto"/>
          <w:sz w:val="28"/>
          <w:szCs w:val="28"/>
        </w:rPr>
      </w:pPr>
      <w:r w:rsidRPr="009D58D6">
        <w:rPr>
          <w:rFonts w:hAnsi="標楷體" w:hint="eastAsia"/>
          <w:color w:val="auto"/>
          <w:sz w:val="28"/>
          <w:szCs w:val="28"/>
        </w:rPr>
        <w:t>未經許可，以船舶或其他機械設備方式，在下列區域採取土石者，處一年以上七年以下有期徒刑，得</w:t>
      </w:r>
      <w:proofErr w:type="gramStart"/>
      <w:r w:rsidRPr="009D58D6">
        <w:rPr>
          <w:rFonts w:hAnsi="標楷體" w:hint="eastAsia"/>
          <w:color w:val="auto"/>
          <w:sz w:val="28"/>
          <w:szCs w:val="28"/>
        </w:rPr>
        <w:t>併</w:t>
      </w:r>
      <w:proofErr w:type="gramEnd"/>
      <w:r w:rsidRPr="009D58D6">
        <w:rPr>
          <w:rFonts w:hAnsi="標楷體" w:hint="eastAsia"/>
          <w:color w:val="auto"/>
          <w:sz w:val="28"/>
          <w:szCs w:val="28"/>
        </w:rPr>
        <w:t>科新臺幣一億元以下罰金：</w:t>
      </w:r>
    </w:p>
    <w:p w14:paraId="453CB6F5" w14:textId="543DB93D" w:rsidR="009D58D6" w:rsidRPr="009D58D6" w:rsidRDefault="009D58D6" w:rsidP="00EC765B">
      <w:pPr>
        <w:pStyle w:val="Default"/>
        <w:spacing w:line="360" w:lineRule="exact"/>
        <w:ind w:leftChars="1055" w:left="3061" w:hangingChars="189" w:hanging="529"/>
        <w:jc w:val="both"/>
        <w:rPr>
          <w:rFonts w:hAnsi="標楷體"/>
          <w:color w:val="auto"/>
          <w:sz w:val="28"/>
          <w:szCs w:val="28"/>
        </w:rPr>
      </w:pPr>
      <w:r w:rsidRPr="009D58D6">
        <w:rPr>
          <w:rFonts w:hAnsi="標楷體" w:hint="eastAsia"/>
          <w:color w:val="auto"/>
          <w:sz w:val="28"/>
          <w:szCs w:val="28"/>
        </w:rPr>
        <w:lastRenderedPageBreak/>
        <w:t>一、中華民國內水（不含內陸水域）及領海。</w:t>
      </w:r>
    </w:p>
    <w:p w14:paraId="220DD19E" w14:textId="61BEA1D8" w:rsidR="009D58D6" w:rsidRDefault="009D58D6" w:rsidP="00EC765B">
      <w:pPr>
        <w:pStyle w:val="Default"/>
        <w:spacing w:line="360" w:lineRule="exact"/>
        <w:ind w:leftChars="1055" w:left="3061" w:hangingChars="189" w:hanging="529"/>
        <w:jc w:val="both"/>
        <w:rPr>
          <w:rFonts w:hAnsi="標楷體"/>
          <w:color w:val="auto"/>
          <w:sz w:val="28"/>
          <w:szCs w:val="28"/>
        </w:rPr>
      </w:pPr>
      <w:r w:rsidRPr="009D58D6">
        <w:rPr>
          <w:rFonts w:hAnsi="標楷體" w:hint="eastAsia"/>
          <w:color w:val="auto"/>
          <w:sz w:val="28"/>
          <w:szCs w:val="28"/>
        </w:rPr>
        <w:t>二、依臺灣地區與大陸地區人民關係條例第二十九條第二項規定公</w:t>
      </w:r>
      <w:r w:rsidR="006B7487">
        <w:rPr>
          <w:rFonts w:hAnsi="標楷體" w:hint="eastAsia"/>
          <w:color w:val="auto"/>
          <w:sz w:val="28"/>
          <w:szCs w:val="28"/>
        </w:rPr>
        <w:t>告之金門</w:t>
      </w:r>
      <w:r w:rsidRPr="009D58D6">
        <w:rPr>
          <w:rFonts w:hAnsi="標楷體" w:hint="eastAsia"/>
          <w:color w:val="auto"/>
          <w:sz w:val="28"/>
          <w:szCs w:val="28"/>
        </w:rPr>
        <w:t>（含東</w:t>
      </w:r>
      <w:proofErr w:type="gramStart"/>
      <w:r w:rsidRPr="009D58D6">
        <w:rPr>
          <w:rFonts w:hAnsi="標楷體" w:hint="eastAsia"/>
          <w:color w:val="auto"/>
          <w:sz w:val="28"/>
          <w:szCs w:val="28"/>
        </w:rPr>
        <w:t>碇</w:t>
      </w:r>
      <w:proofErr w:type="gramEnd"/>
      <w:r w:rsidRPr="009D58D6">
        <w:rPr>
          <w:rFonts w:hAnsi="標楷體" w:hint="eastAsia"/>
          <w:color w:val="auto"/>
          <w:sz w:val="28"/>
          <w:szCs w:val="28"/>
        </w:rPr>
        <w:t>、烏坵）、馬祖（含東引、亮島）及南沙地區之限制、禁止水域。</w:t>
      </w:r>
    </w:p>
    <w:p w14:paraId="191174DD" w14:textId="3D1338D0" w:rsidR="009D58D6" w:rsidRDefault="009D58D6" w:rsidP="00EC765B">
      <w:pPr>
        <w:pStyle w:val="Default"/>
        <w:spacing w:line="360" w:lineRule="exact"/>
        <w:ind w:leftChars="1044" w:left="2506" w:firstLineChars="189" w:firstLine="529"/>
        <w:jc w:val="both"/>
        <w:rPr>
          <w:rFonts w:hAnsi="標楷體"/>
          <w:color w:val="auto"/>
          <w:sz w:val="28"/>
          <w:szCs w:val="28"/>
        </w:rPr>
      </w:pPr>
      <w:r w:rsidRPr="009D58D6">
        <w:rPr>
          <w:rFonts w:hAnsi="標楷體" w:hint="eastAsia"/>
          <w:color w:val="auto"/>
          <w:sz w:val="28"/>
          <w:szCs w:val="28"/>
        </w:rPr>
        <w:t>意圖營利，有第一項未經許可採取土石情形者，處五年以下有期徒刑，得</w:t>
      </w:r>
      <w:proofErr w:type="gramStart"/>
      <w:r w:rsidRPr="009D58D6">
        <w:rPr>
          <w:rFonts w:hAnsi="標楷體" w:hint="eastAsia"/>
          <w:color w:val="auto"/>
          <w:sz w:val="28"/>
          <w:szCs w:val="28"/>
        </w:rPr>
        <w:t>併</w:t>
      </w:r>
      <w:proofErr w:type="gramEnd"/>
      <w:r w:rsidRPr="009D58D6">
        <w:rPr>
          <w:rFonts w:hAnsi="標楷體" w:hint="eastAsia"/>
          <w:color w:val="auto"/>
          <w:sz w:val="28"/>
          <w:szCs w:val="28"/>
        </w:rPr>
        <w:t>科新臺幣五千萬元以下罰金。</w:t>
      </w:r>
    </w:p>
    <w:p w14:paraId="39401A72" w14:textId="77777777" w:rsidR="00277EDC" w:rsidRDefault="009D58D6" w:rsidP="00EC765B">
      <w:pPr>
        <w:pStyle w:val="Default"/>
        <w:spacing w:line="360" w:lineRule="exact"/>
        <w:ind w:leftChars="1044" w:left="2506" w:firstLineChars="189" w:firstLine="529"/>
        <w:jc w:val="both"/>
        <w:rPr>
          <w:rFonts w:hAnsi="標楷體"/>
          <w:color w:val="auto"/>
          <w:sz w:val="28"/>
          <w:szCs w:val="28"/>
        </w:rPr>
      </w:pPr>
      <w:r w:rsidRPr="009D58D6">
        <w:rPr>
          <w:rFonts w:hAnsi="標楷體" w:hint="eastAsia"/>
          <w:color w:val="auto"/>
          <w:sz w:val="28"/>
          <w:szCs w:val="28"/>
        </w:rPr>
        <w:t>前項情形致釀成災害者，處一年以上七年以下有期徒刑，得</w:t>
      </w:r>
      <w:proofErr w:type="gramStart"/>
      <w:r w:rsidRPr="009D58D6">
        <w:rPr>
          <w:rFonts w:hAnsi="標楷體" w:hint="eastAsia"/>
          <w:color w:val="auto"/>
          <w:sz w:val="28"/>
          <w:szCs w:val="28"/>
        </w:rPr>
        <w:t>併</w:t>
      </w:r>
      <w:proofErr w:type="gramEnd"/>
      <w:r w:rsidRPr="009D58D6">
        <w:rPr>
          <w:rFonts w:hAnsi="標楷體" w:hint="eastAsia"/>
          <w:color w:val="auto"/>
          <w:sz w:val="28"/>
          <w:szCs w:val="28"/>
        </w:rPr>
        <w:t>科新臺幣六千萬元以下罰金；因而致人於死者，處無期徒刑或七年以上有期徒刑，得</w:t>
      </w:r>
      <w:proofErr w:type="gramStart"/>
      <w:r w:rsidRPr="009D58D6">
        <w:rPr>
          <w:rFonts w:hAnsi="標楷體" w:hint="eastAsia"/>
          <w:color w:val="auto"/>
          <w:sz w:val="28"/>
          <w:szCs w:val="28"/>
        </w:rPr>
        <w:t>併</w:t>
      </w:r>
      <w:proofErr w:type="gramEnd"/>
      <w:r w:rsidRPr="009D58D6">
        <w:rPr>
          <w:rFonts w:hAnsi="標楷體" w:hint="eastAsia"/>
          <w:color w:val="auto"/>
          <w:sz w:val="28"/>
          <w:szCs w:val="28"/>
        </w:rPr>
        <w:t>科新臺幣一億元以下罰金；致重傷者，處三年以上十年以下有期徒刑，得</w:t>
      </w:r>
      <w:proofErr w:type="gramStart"/>
      <w:r w:rsidRPr="009D58D6">
        <w:rPr>
          <w:rFonts w:hAnsi="標楷體" w:hint="eastAsia"/>
          <w:color w:val="auto"/>
          <w:sz w:val="28"/>
          <w:szCs w:val="28"/>
        </w:rPr>
        <w:t>併</w:t>
      </w:r>
      <w:proofErr w:type="gramEnd"/>
      <w:r w:rsidRPr="009D58D6">
        <w:rPr>
          <w:rFonts w:hAnsi="標楷體" w:hint="eastAsia"/>
          <w:color w:val="auto"/>
          <w:sz w:val="28"/>
          <w:szCs w:val="28"/>
        </w:rPr>
        <w:t>科新臺幣八千萬元以下罰金。</w:t>
      </w:r>
    </w:p>
    <w:p w14:paraId="21E2FD14" w14:textId="05A2F811" w:rsidR="009D58D6" w:rsidRPr="009D58D6" w:rsidRDefault="009D58D6" w:rsidP="00EC765B">
      <w:pPr>
        <w:pStyle w:val="Default"/>
        <w:spacing w:line="360" w:lineRule="exact"/>
        <w:ind w:leftChars="1044" w:left="2506" w:firstLineChars="189" w:firstLine="529"/>
        <w:jc w:val="both"/>
        <w:rPr>
          <w:rFonts w:hAnsi="標楷體"/>
          <w:color w:val="auto"/>
          <w:sz w:val="28"/>
          <w:szCs w:val="28"/>
        </w:rPr>
      </w:pPr>
      <w:r w:rsidRPr="009D58D6">
        <w:rPr>
          <w:rFonts w:hAnsi="標楷體" w:hint="eastAsia"/>
          <w:color w:val="auto"/>
          <w:sz w:val="28"/>
          <w:szCs w:val="28"/>
        </w:rPr>
        <w:t>供第二項及第三項犯罪用之船舶、載運車輛或其他機械設備，不問屬於犯罪行為人與否，沒收之；其經裁判沒收確定者，得視個案情節需要拍賣或變賣，或專案報准依下列方式之</w:t>
      </w:r>
      <w:proofErr w:type="gramStart"/>
      <w:r w:rsidRPr="009D58D6">
        <w:rPr>
          <w:rFonts w:hAnsi="標楷體" w:hint="eastAsia"/>
          <w:color w:val="auto"/>
          <w:sz w:val="28"/>
          <w:szCs w:val="28"/>
        </w:rPr>
        <w:t>一</w:t>
      </w:r>
      <w:proofErr w:type="gramEnd"/>
      <w:r w:rsidRPr="009D58D6">
        <w:rPr>
          <w:rFonts w:hAnsi="標楷體" w:hint="eastAsia"/>
          <w:color w:val="auto"/>
          <w:sz w:val="28"/>
          <w:szCs w:val="28"/>
        </w:rPr>
        <w:t>處置之：</w:t>
      </w:r>
    </w:p>
    <w:p w14:paraId="1C13B37F" w14:textId="77777777" w:rsidR="009D58D6" w:rsidRPr="009D58D6" w:rsidRDefault="009D58D6" w:rsidP="00EC765B">
      <w:pPr>
        <w:pStyle w:val="Default"/>
        <w:spacing w:line="360" w:lineRule="exact"/>
        <w:ind w:leftChars="1055" w:left="3061" w:hangingChars="189" w:hanging="529"/>
        <w:jc w:val="both"/>
        <w:rPr>
          <w:rFonts w:hAnsi="標楷體"/>
          <w:color w:val="auto"/>
          <w:sz w:val="28"/>
          <w:szCs w:val="28"/>
        </w:rPr>
      </w:pPr>
      <w:r w:rsidRPr="009D58D6">
        <w:rPr>
          <w:rFonts w:hAnsi="標楷體" w:hint="eastAsia"/>
          <w:color w:val="auto"/>
          <w:sz w:val="28"/>
          <w:szCs w:val="28"/>
        </w:rPr>
        <w:t>一、無償留供公用。</w:t>
      </w:r>
    </w:p>
    <w:p w14:paraId="51283A65" w14:textId="3EB99F57" w:rsidR="009D58D6" w:rsidRPr="009D58D6" w:rsidRDefault="009D58D6" w:rsidP="00EC765B">
      <w:pPr>
        <w:pStyle w:val="Default"/>
        <w:spacing w:line="360" w:lineRule="exact"/>
        <w:ind w:leftChars="1055" w:left="3061" w:hangingChars="189" w:hanging="529"/>
        <w:jc w:val="both"/>
        <w:rPr>
          <w:rFonts w:hAnsi="標楷體"/>
          <w:color w:val="auto"/>
          <w:sz w:val="28"/>
          <w:szCs w:val="28"/>
        </w:rPr>
      </w:pPr>
      <w:r w:rsidRPr="009D58D6">
        <w:rPr>
          <w:rFonts w:hAnsi="標楷體" w:hint="eastAsia"/>
          <w:color w:val="auto"/>
          <w:sz w:val="28"/>
          <w:szCs w:val="28"/>
        </w:rPr>
        <w:t>二、廢棄。</w:t>
      </w:r>
    </w:p>
    <w:p w14:paraId="0F550697" w14:textId="77777777" w:rsidR="009D58D6" w:rsidRPr="009D58D6" w:rsidRDefault="009D58D6" w:rsidP="00EC765B">
      <w:pPr>
        <w:pStyle w:val="Default"/>
        <w:spacing w:line="360" w:lineRule="exact"/>
        <w:ind w:leftChars="1055" w:left="3061" w:hangingChars="189" w:hanging="529"/>
        <w:jc w:val="both"/>
        <w:rPr>
          <w:rFonts w:hAnsi="標楷體"/>
          <w:color w:val="auto"/>
          <w:sz w:val="28"/>
          <w:szCs w:val="28"/>
        </w:rPr>
      </w:pPr>
      <w:r w:rsidRPr="009D58D6">
        <w:rPr>
          <w:rFonts w:hAnsi="標楷體" w:hint="eastAsia"/>
          <w:color w:val="auto"/>
          <w:sz w:val="28"/>
          <w:szCs w:val="28"/>
        </w:rPr>
        <w:t>三、為其他適當之處置。</w:t>
      </w:r>
    </w:p>
    <w:p w14:paraId="25776904" w14:textId="2A0267EA" w:rsidR="009D58D6" w:rsidRPr="009D58D6" w:rsidRDefault="009D58D6" w:rsidP="00EC765B">
      <w:pPr>
        <w:pStyle w:val="Default"/>
        <w:spacing w:line="360" w:lineRule="exact"/>
        <w:ind w:leftChars="1044" w:left="2506" w:firstLineChars="189" w:firstLine="529"/>
        <w:jc w:val="both"/>
        <w:rPr>
          <w:rFonts w:hAnsi="標楷體"/>
          <w:color w:val="auto"/>
          <w:sz w:val="28"/>
          <w:szCs w:val="28"/>
        </w:rPr>
      </w:pPr>
      <w:r w:rsidRPr="009D58D6">
        <w:rPr>
          <w:rFonts w:hAnsi="標楷體" w:hint="eastAsia"/>
          <w:color w:val="auto"/>
          <w:sz w:val="28"/>
          <w:szCs w:val="28"/>
        </w:rPr>
        <w:t>第一項整復不得使用廢棄物；整復得使用之物料、實施方法及其他相關事項，由中央主管機關會商相關主管機關公告之。</w:t>
      </w:r>
    </w:p>
    <w:p w14:paraId="69988A99" w14:textId="05CC65C9" w:rsidR="007B1812" w:rsidRPr="00A95263" w:rsidRDefault="004D6747" w:rsidP="00010555">
      <w:pPr>
        <w:pStyle w:val="Default"/>
        <w:numPr>
          <w:ilvl w:val="0"/>
          <w:numId w:val="10"/>
        </w:numPr>
        <w:spacing w:line="360" w:lineRule="exact"/>
        <w:ind w:leftChars="116" w:left="852" w:hangingChars="205" w:hanging="574"/>
        <w:jc w:val="both"/>
        <w:rPr>
          <w:rFonts w:hAnsi="標楷體"/>
          <w:color w:val="auto"/>
          <w:sz w:val="28"/>
          <w:szCs w:val="28"/>
        </w:rPr>
      </w:pPr>
      <w:r w:rsidRPr="00A95263">
        <w:rPr>
          <w:rFonts w:hAnsi="標楷體" w:hint="eastAsia"/>
          <w:color w:val="auto"/>
          <w:sz w:val="28"/>
          <w:szCs w:val="28"/>
        </w:rPr>
        <w:t>第三十七條</w:t>
      </w:r>
      <w:r w:rsidR="007B1812" w:rsidRPr="00A95263">
        <w:rPr>
          <w:rFonts w:hAnsi="標楷體" w:hint="eastAsia"/>
          <w:color w:val="auto"/>
          <w:sz w:val="28"/>
          <w:szCs w:val="28"/>
        </w:rPr>
        <w:t>、第三十八條、第三十九條及第四十條</w:t>
      </w:r>
      <w:r w:rsidRPr="00A95263">
        <w:rPr>
          <w:rFonts w:hAnsi="標楷體" w:hint="eastAsia"/>
          <w:color w:val="auto"/>
          <w:sz w:val="28"/>
          <w:szCs w:val="28"/>
        </w:rPr>
        <w:t>條文，</w:t>
      </w:r>
      <w:r w:rsidR="000F3660">
        <w:rPr>
          <w:rFonts w:hAnsi="標楷體" w:hint="eastAsia"/>
          <w:color w:val="auto"/>
          <w:sz w:val="28"/>
          <w:szCs w:val="28"/>
        </w:rPr>
        <w:t>均</w:t>
      </w:r>
      <w:r w:rsidR="007B1812" w:rsidRPr="00A95263">
        <w:rPr>
          <w:rFonts w:hAnsi="標楷體" w:hint="eastAsia"/>
          <w:color w:val="auto"/>
          <w:sz w:val="28"/>
          <w:szCs w:val="28"/>
        </w:rPr>
        <w:t>不予</w:t>
      </w:r>
      <w:r w:rsidR="001B7D03">
        <w:rPr>
          <w:rFonts w:hAnsi="標楷體" w:hint="eastAsia"/>
          <w:color w:val="auto"/>
          <w:sz w:val="28"/>
          <w:szCs w:val="28"/>
        </w:rPr>
        <w:t>修正</w:t>
      </w:r>
      <w:r w:rsidR="007B1812" w:rsidRPr="00A95263">
        <w:rPr>
          <w:rFonts w:hAnsi="標楷體" w:hint="eastAsia"/>
          <w:color w:val="auto"/>
          <w:sz w:val="28"/>
          <w:szCs w:val="28"/>
        </w:rPr>
        <w:t>，維持現行條文。</w:t>
      </w:r>
    </w:p>
    <w:p w14:paraId="6D9ADECC" w14:textId="2088E302" w:rsidR="004D6747" w:rsidRDefault="007B1812" w:rsidP="00010555">
      <w:pPr>
        <w:pStyle w:val="Default"/>
        <w:numPr>
          <w:ilvl w:val="0"/>
          <w:numId w:val="10"/>
        </w:numPr>
        <w:spacing w:line="360" w:lineRule="exact"/>
        <w:ind w:leftChars="116" w:left="852" w:hangingChars="205" w:hanging="574"/>
        <w:jc w:val="both"/>
        <w:rPr>
          <w:rFonts w:hAnsi="標楷體"/>
          <w:color w:val="auto"/>
          <w:sz w:val="28"/>
          <w:szCs w:val="28"/>
        </w:rPr>
      </w:pPr>
      <w:r w:rsidRPr="00A95263">
        <w:rPr>
          <w:rFonts w:hAnsi="標楷體" w:hint="eastAsia"/>
          <w:color w:val="auto"/>
          <w:sz w:val="28"/>
          <w:szCs w:val="28"/>
        </w:rPr>
        <w:t>第四十一條條文，</w:t>
      </w:r>
      <w:r w:rsidR="002424BB" w:rsidRPr="00A95263">
        <w:rPr>
          <w:rFonts w:hAnsi="標楷體" w:hint="eastAsia"/>
          <w:color w:val="auto"/>
          <w:sz w:val="28"/>
          <w:szCs w:val="28"/>
        </w:rPr>
        <w:t>照台灣民眾黨黨團提案</w:t>
      </w:r>
      <w:r w:rsidR="001D07C4" w:rsidRPr="00A95263">
        <w:rPr>
          <w:rFonts w:hAnsi="標楷體" w:hint="eastAsia"/>
          <w:color w:val="auto"/>
          <w:sz w:val="28"/>
          <w:szCs w:val="28"/>
        </w:rPr>
        <w:t>修正</w:t>
      </w:r>
      <w:r w:rsidR="00277EDC">
        <w:rPr>
          <w:rFonts w:hAnsi="標楷體" w:hint="eastAsia"/>
          <w:color w:val="auto"/>
          <w:sz w:val="28"/>
          <w:szCs w:val="28"/>
        </w:rPr>
        <w:t>通過，</w:t>
      </w:r>
      <w:r w:rsidR="0000361D">
        <w:rPr>
          <w:rFonts w:hAnsi="標楷體" w:hint="eastAsia"/>
          <w:color w:val="auto"/>
          <w:sz w:val="28"/>
          <w:szCs w:val="28"/>
        </w:rPr>
        <w:t>條文</w:t>
      </w:r>
      <w:r w:rsidR="00277EDC">
        <w:rPr>
          <w:rFonts w:hAnsi="標楷體" w:hint="eastAsia"/>
          <w:color w:val="auto"/>
          <w:sz w:val="28"/>
          <w:szCs w:val="28"/>
        </w:rPr>
        <w:t>如下：</w:t>
      </w:r>
    </w:p>
    <w:p w14:paraId="05F8052D" w14:textId="197F6E0D" w:rsidR="00277EDC" w:rsidRPr="00277EDC" w:rsidRDefault="00277EDC" w:rsidP="00EC765B">
      <w:pPr>
        <w:pStyle w:val="Default"/>
        <w:spacing w:line="360" w:lineRule="exact"/>
        <w:ind w:leftChars="466" w:left="2518" w:hangingChars="500" w:hanging="1400"/>
        <w:jc w:val="both"/>
        <w:rPr>
          <w:rFonts w:hAnsi="標楷體"/>
          <w:color w:val="auto"/>
          <w:sz w:val="28"/>
          <w:szCs w:val="28"/>
        </w:rPr>
      </w:pPr>
      <w:r w:rsidRPr="00277EDC">
        <w:rPr>
          <w:rFonts w:hAnsi="標楷體" w:hint="eastAsia"/>
          <w:color w:val="auto"/>
          <w:sz w:val="28"/>
          <w:szCs w:val="28"/>
        </w:rPr>
        <w:t xml:space="preserve">第四十一條　</w:t>
      </w:r>
      <w:r w:rsidR="00EC765B" w:rsidRPr="00EC765B">
        <w:rPr>
          <w:rFonts w:hAnsi="標楷體" w:hint="eastAsia"/>
          <w:color w:val="auto"/>
          <w:sz w:val="28"/>
          <w:szCs w:val="28"/>
        </w:rPr>
        <w:t xml:space="preserve">　</w:t>
      </w:r>
      <w:r w:rsidRPr="00277EDC">
        <w:rPr>
          <w:rFonts w:hAnsi="標楷體" w:hint="eastAsia"/>
          <w:color w:val="auto"/>
          <w:sz w:val="28"/>
          <w:szCs w:val="28"/>
        </w:rPr>
        <w:t>有下列情形之</w:t>
      </w:r>
      <w:proofErr w:type="gramStart"/>
      <w:r w:rsidRPr="00277EDC">
        <w:rPr>
          <w:rFonts w:hAnsi="標楷體" w:hint="eastAsia"/>
          <w:color w:val="auto"/>
          <w:sz w:val="28"/>
          <w:szCs w:val="28"/>
        </w:rPr>
        <w:t>一</w:t>
      </w:r>
      <w:proofErr w:type="gramEnd"/>
      <w:r w:rsidRPr="00277EDC">
        <w:rPr>
          <w:rFonts w:hAnsi="標楷體" w:hint="eastAsia"/>
          <w:color w:val="auto"/>
          <w:sz w:val="28"/>
          <w:szCs w:val="28"/>
        </w:rPr>
        <w:t>者，處新臺幣三千元以上三萬元以下罰鍰：</w:t>
      </w:r>
    </w:p>
    <w:p w14:paraId="70FE2D36" w14:textId="5E880138" w:rsidR="006B7487" w:rsidRDefault="00277EDC" w:rsidP="00EC765B">
      <w:pPr>
        <w:pStyle w:val="Default"/>
        <w:spacing w:line="360" w:lineRule="exact"/>
        <w:ind w:leftChars="1055" w:left="3092" w:hangingChars="200" w:hanging="560"/>
        <w:jc w:val="both"/>
        <w:rPr>
          <w:rFonts w:hAnsi="標楷體"/>
          <w:color w:val="auto"/>
          <w:sz w:val="28"/>
          <w:szCs w:val="28"/>
        </w:rPr>
      </w:pPr>
      <w:r w:rsidRPr="00277EDC">
        <w:rPr>
          <w:rFonts w:hAnsi="標楷體" w:hint="eastAsia"/>
          <w:color w:val="auto"/>
          <w:sz w:val="28"/>
          <w:szCs w:val="28"/>
        </w:rPr>
        <w:t>一、土石採取人未依第三十二條第一項規定申報採取及銷售數量者。</w:t>
      </w:r>
    </w:p>
    <w:p w14:paraId="75889A11" w14:textId="29C9B3A2" w:rsidR="00277EDC" w:rsidRPr="00277EDC" w:rsidRDefault="00277EDC" w:rsidP="00EC765B">
      <w:pPr>
        <w:pStyle w:val="Default"/>
        <w:spacing w:line="360" w:lineRule="exact"/>
        <w:ind w:leftChars="1055" w:left="3092" w:hangingChars="200" w:hanging="560"/>
        <w:jc w:val="both"/>
        <w:rPr>
          <w:rFonts w:hAnsi="標楷體"/>
          <w:color w:val="auto"/>
          <w:sz w:val="28"/>
          <w:szCs w:val="28"/>
        </w:rPr>
      </w:pPr>
      <w:r w:rsidRPr="00277EDC">
        <w:rPr>
          <w:rFonts w:hAnsi="標楷體" w:hint="eastAsia"/>
          <w:color w:val="auto"/>
          <w:sz w:val="28"/>
          <w:szCs w:val="28"/>
        </w:rPr>
        <w:t>二、土石採取場負責人未依第三十五條第一項規定開具出貨三聯單，或其記載內容與實際裝載者不符者。</w:t>
      </w:r>
    </w:p>
    <w:p w14:paraId="44207C25" w14:textId="7CBCF47B" w:rsidR="00277EDC" w:rsidRPr="00277EDC" w:rsidRDefault="00277EDC" w:rsidP="00EC765B">
      <w:pPr>
        <w:pStyle w:val="Default"/>
        <w:spacing w:line="360" w:lineRule="exact"/>
        <w:ind w:leftChars="1055" w:left="3092" w:hangingChars="200" w:hanging="560"/>
        <w:jc w:val="both"/>
        <w:rPr>
          <w:rFonts w:hAnsi="標楷體"/>
          <w:color w:val="auto"/>
          <w:sz w:val="28"/>
          <w:szCs w:val="28"/>
        </w:rPr>
      </w:pPr>
      <w:r w:rsidRPr="00277EDC">
        <w:rPr>
          <w:rFonts w:hAnsi="標楷體" w:hint="eastAsia"/>
          <w:color w:val="auto"/>
          <w:sz w:val="28"/>
          <w:szCs w:val="28"/>
        </w:rPr>
        <w:t>三、運送人未依第三十五條第一項規定隨車攜帶出貨三聯單者。</w:t>
      </w:r>
    </w:p>
    <w:p w14:paraId="7946B462" w14:textId="129904C9" w:rsidR="00277EDC" w:rsidRPr="00A95263" w:rsidRDefault="00277EDC" w:rsidP="00EC765B">
      <w:pPr>
        <w:pStyle w:val="Default"/>
        <w:spacing w:line="360" w:lineRule="exact"/>
        <w:ind w:leftChars="1073" w:left="3135" w:hangingChars="200" w:hanging="560"/>
        <w:jc w:val="both"/>
        <w:rPr>
          <w:rFonts w:hAnsi="標楷體"/>
          <w:color w:val="auto"/>
          <w:sz w:val="28"/>
          <w:szCs w:val="28"/>
        </w:rPr>
      </w:pPr>
      <w:r w:rsidRPr="00277EDC">
        <w:rPr>
          <w:rFonts w:hAnsi="標楷體" w:hint="eastAsia"/>
          <w:color w:val="auto"/>
          <w:sz w:val="28"/>
          <w:szCs w:val="28"/>
        </w:rPr>
        <w:t>四、土石採取場負責人未依第三十五條第二項規定，將土石裝載於專用車輛或專用車廂</w:t>
      </w:r>
      <w:proofErr w:type="gramStart"/>
      <w:r w:rsidRPr="00277EDC">
        <w:rPr>
          <w:rFonts w:hAnsi="標楷體" w:hint="eastAsia"/>
          <w:color w:val="auto"/>
          <w:sz w:val="28"/>
          <w:szCs w:val="28"/>
        </w:rPr>
        <w:t>外運者</w:t>
      </w:r>
      <w:proofErr w:type="gramEnd"/>
      <w:r w:rsidRPr="00277EDC">
        <w:rPr>
          <w:rFonts w:hAnsi="標楷體" w:hint="eastAsia"/>
          <w:color w:val="auto"/>
          <w:sz w:val="28"/>
          <w:szCs w:val="28"/>
        </w:rPr>
        <w:t>。</w:t>
      </w:r>
    </w:p>
    <w:p w14:paraId="62A169DC" w14:textId="2A7CCE3C" w:rsidR="00443870" w:rsidRPr="00A95263" w:rsidRDefault="00443870" w:rsidP="00010555">
      <w:pPr>
        <w:pStyle w:val="Default"/>
        <w:numPr>
          <w:ilvl w:val="0"/>
          <w:numId w:val="10"/>
        </w:numPr>
        <w:spacing w:line="360" w:lineRule="exact"/>
        <w:ind w:leftChars="116" w:left="852" w:hangingChars="205" w:hanging="574"/>
        <w:jc w:val="both"/>
        <w:rPr>
          <w:rFonts w:hAnsi="標楷體"/>
          <w:color w:val="auto"/>
          <w:sz w:val="28"/>
          <w:szCs w:val="28"/>
        </w:rPr>
      </w:pPr>
      <w:bookmarkStart w:id="20" w:name="_Hlk217469598"/>
      <w:proofErr w:type="gramStart"/>
      <w:r w:rsidRPr="00A95263">
        <w:rPr>
          <w:rFonts w:hAnsi="標楷體" w:hint="eastAsia"/>
          <w:color w:val="auto"/>
          <w:sz w:val="28"/>
          <w:szCs w:val="28"/>
        </w:rPr>
        <w:t>併</w:t>
      </w:r>
      <w:proofErr w:type="gramEnd"/>
      <w:r w:rsidRPr="00A95263">
        <w:rPr>
          <w:rFonts w:hAnsi="標楷體" w:hint="eastAsia"/>
          <w:color w:val="auto"/>
          <w:sz w:val="28"/>
          <w:szCs w:val="28"/>
        </w:rPr>
        <w:t>案審查完竣，擬具審查報</w:t>
      </w:r>
      <w:bookmarkEnd w:id="20"/>
      <w:r w:rsidRPr="00A95263">
        <w:rPr>
          <w:rFonts w:hAnsi="標楷體" w:hint="eastAsia"/>
          <w:color w:val="auto"/>
          <w:sz w:val="28"/>
          <w:szCs w:val="28"/>
        </w:rPr>
        <w:t>告，提報院會討論，</w:t>
      </w:r>
      <w:r w:rsidR="00941855" w:rsidRPr="00A95263">
        <w:rPr>
          <w:rFonts w:hAnsi="標楷體" w:hint="eastAsia"/>
          <w:color w:val="auto"/>
          <w:sz w:val="28"/>
          <w:szCs w:val="28"/>
        </w:rPr>
        <w:t>不</w:t>
      </w:r>
      <w:r w:rsidRPr="00A95263">
        <w:rPr>
          <w:rFonts w:hAnsi="標楷體" w:hint="eastAsia"/>
          <w:color w:val="auto"/>
          <w:sz w:val="28"/>
          <w:szCs w:val="28"/>
        </w:rPr>
        <w:t>須交由黨團協商，並推請</w:t>
      </w:r>
      <w:r w:rsidR="00804E5A" w:rsidRPr="00A95263">
        <w:rPr>
          <w:rFonts w:hAnsi="標楷體" w:hint="eastAsia"/>
          <w:color w:val="auto"/>
          <w:sz w:val="28"/>
          <w:szCs w:val="28"/>
        </w:rPr>
        <w:t>洪</w:t>
      </w:r>
      <w:r w:rsidRPr="00A95263">
        <w:rPr>
          <w:rFonts w:hAnsi="標楷體" w:hint="eastAsia"/>
          <w:color w:val="auto"/>
          <w:sz w:val="28"/>
          <w:szCs w:val="28"/>
        </w:rPr>
        <w:t>召集委員</w:t>
      </w:r>
      <w:proofErr w:type="gramStart"/>
      <w:r w:rsidR="00804E5A" w:rsidRPr="00A95263">
        <w:rPr>
          <w:rFonts w:hAnsi="標楷體" w:hint="eastAsia"/>
          <w:color w:val="auto"/>
          <w:sz w:val="28"/>
          <w:szCs w:val="28"/>
        </w:rPr>
        <w:t>毓祥</w:t>
      </w:r>
      <w:proofErr w:type="gramEnd"/>
      <w:r w:rsidRPr="00A95263">
        <w:rPr>
          <w:rFonts w:hAnsi="標楷體" w:hint="eastAsia"/>
          <w:color w:val="auto"/>
          <w:sz w:val="28"/>
          <w:szCs w:val="28"/>
        </w:rPr>
        <w:t>於院會討論時作補充說明。</w:t>
      </w:r>
    </w:p>
    <w:p w14:paraId="1F9653DC" w14:textId="0D5C1231" w:rsidR="00443870" w:rsidRPr="00A95263" w:rsidRDefault="00443870" w:rsidP="00010555">
      <w:pPr>
        <w:pStyle w:val="Default"/>
        <w:spacing w:line="360" w:lineRule="exact"/>
        <w:ind w:left="846" w:hangingChars="302" w:hanging="846"/>
        <w:jc w:val="both"/>
        <w:rPr>
          <w:rFonts w:hAnsi="標楷體"/>
          <w:color w:val="auto"/>
          <w:sz w:val="28"/>
          <w:szCs w:val="28"/>
        </w:rPr>
      </w:pPr>
      <w:r w:rsidRPr="00A95263">
        <w:rPr>
          <w:rFonts w:hAnsi="標楷體" w:hint="eastAsia"/>
          <w:color w:val="auto"/>
          <w:sz w:val="28"/>
          <w:szCs w:val="28"/>
        </w:rPr>
        <w:t>主席宣告：審查通過之條文相關法制用語，授權主席及議事人員整理。</w:t>
      </w:r>
    </w:p>
    <w:p w14:paraId="20329847" w14:textId="7DF6B834" w:rsidR="00443870" w:rsidRPr="00A95263" w:rsidRDefault="00443870" w:rsidP="00010555">
      <w:pPr>
        <w:pStyle w:val="Default"/>
        <w:spacing w:line="360" w:lineRule="exact"/>
        <w:ind w:left="846" w:hangingChars="302" w:hanging="846"/>
        <w:jc w:val="both"/>
        <w:rPr>
          <w:rFonts w:hAnsi="標楷體"/>
          <w:color w:val="auto"/>
          <w:sz w:val="28"/>
          <w:szCs w:val="28"/>
        </w:rPr>
      </w:pPr>
    </w:p>
    <w:p w14:paraId="16550825" w14:textId="2508282D" w:rsidR="00CA349B" w:rsidRPr="00A95263" w:rsidRDefault="00CA349B" w:rsidP="00CA349B">
      <w:pPr>
        <w:pStyle w:val="Default"/>
        <w:spacing w:line="360" w:lineRule="exact"/>
        <w:ind w:left="849" w:hangingChars="303" w:hanging="849"/>
        <w:jc w:val="both"/>
        <w:rPr>
          <w:rFonts w:hAnsi="標楷體"/>
          <w:b/>
          <w:bCs/>
          <w:color w:val="auto"/>
          <w:sz w:val="28"/>
          <w:szCs w:val="28"/>
        </w:rPr>
      </w:pPr>
      <w:r w:rsidRPr="00A95263">
        <w:rPr>
          <w:rFonts w:hAnsi="標楷體"/>
          <w:b/>
          <w:bCs/>
          <w:color w:val="auto"/>
          <w:sz w:val="28"/>
          <w:szCs w:val="28"/>
        </w:rPr>
        <w:lastRenderedPageBreak/>
        <w:t>115年6月</w:t>
      </w:r>
      <w:r w:rsidRPr="00A95263">
        <w:rPr>
          <w:rFonts w:hAnsi="標楷體" w:hint="eastAsia"/>
          <w:b/>
          <w:bCs/>
          <w:color w:val="auto"/>
          <w:sz w:val="28"/>
          <w:szCs w:val="28"/>
        </w:rPr>
        <w:t>4</w:t>
      </w:r>
      <w:r w:rsidRPr="00A95263">
        <w:rPr>
          <w:rFonts w:hAnsi="標楷體"/>
          <w:b/>
          <w:bCs/>
          <w:color w:val="auto"/>
          <w:sz w:val="28"/>
          <w:szCs w:val="28"/>
        </w:rPr>
        <w:t>日（星期</w:t>
      </w:r>
      <w:r w:rsidRPr="00A95263">
        <w:rPr>
          <w:rFonts w:hAnsi="標楷體" w:hint="eastAsia"/>
          <w:b/>
          <w:bCs/>
          <w:color w:val="auto"/>
          <w:sz w:val="28"/>
          <w:szCs w:val="28"/>
        </w:rPr>
        <w:t>四</w:t>
      </w:r>
      <w:r w:rsidRPr="00A95263">
        <w:rPr>
          <w:rFonts w:hAnsi="標楷體"/>
          <w:b/>
          <w:bCs/>
          <w:color w:val="auto"/>
          <w:sz w:val="28"/>
          <w:szCs w:val="28"/>
        </w:rPr>
        <w:t>）</w:t>
      </w:r>
    </w:p>
    <w:p w14:paraId="13FDD962" w14:textId="77777777" w:rsidR="00CA349B" w:rsidRPr="00A95263" w:rsidRDefault="00CA349B" w:rsidP="00CA349B">
      <w:pPr>
        <w:pStyle w:val="Default"/>
        <w:spacing w:line="360" w:lineRule="exact"/>
        <w:ind w:left="849" w:hangingChars="303" w:hanging="849"/>
        <w:jc w:val="both"/>
        <w:rPr>
          <w:rFonts w:hAnsi="標楷體"/>
          <w:b/>
          <w:bCs/>
          <w:color w:val="auto"/>
          <w:sz w:val="28"/>
          <w:szCs w:val="28"/>
        </w:rPr>
      </w:pPr>
      <w:r w:rsidRPr="00A95263">
        <w:rPr>
          <w:rFonts w:hAnsi="標楷體" w:hint="eastAsia"/>
          <w:b/>
          <w:bCs/>
          <w:color w:val="auto"/>
          <w:sz w:val="28"/>
          <w:szCs w:val="28"/>
        </w:rPr>
        <w:t xml:space="preserve">　　　　討論事項</w:t>
      </w:r>
    </w:p>
    <w:p w14:paraId="4761A943" w14:textId="4B27CA29" w:rsidR="00CA349B" w:rsidRPr="00A95263" w:rsidRDefault="00CA349B" w:rsidP="00CA349B">
      <w:pPr>
        <w:pStyle w:val="Default"/>
        <w:spacing w:line="360" w:lineRule="exact"/>
        <w:jc w:val="both"/>
        <w:rPr>
          <w:rFonts w:hAnsi="標楷體"/>
          <w:color w:val="auto"/>
          <w:sz w:val="28"/>
          <w:szCs w:val="28"/>
        </w:rPr>
      </w:pPr>
      <w:r w:rsidRPr="00A95263">
        <w:rPr>
          <w:rFonts w:hAnsi="標楷體" w:hint="eastAsia"/>
          <w:color w:val="auto"/>
          <w:sz w:val="28"/>
          <w:szCs w:val="28"/>
        </w:rPr>
        <w:t>繼續審查</w:t>
      </w:r>
      <w:proofErr w:type="gramStart"/>
      <w:r w:rsidRPr="00A95263">
        <w:rPr>
          <w:rFonts w:hAnsi="標楷體" w:hint="eastAsia"/>
          <w:color w:val="auto"/>
          <w:sz w:val="28"/>
          <w:szCs w:val="28"/>
        </w:rPr>
        <w:t>115</w:t>
      </w:r>
      <w:proofErr w:type="gramEnd"/>
      <w:r w:rsidRPr="00A95263">
        <w:rPr>
          <w:rFonts w:hAnsi="標楷體" w:hint="eastAsia"/>
          <w:color w:val="auto"/>
          <w:sz w:val="28"/>
          <w:szCs w:val="28"/>
        </w:rPr>
        <w:t>年度中央政府總預算案關於公平交易委員會單位預算及附屬單位預算非營業部分關於公平交易委員會主管：反托拉斯基金。</w:t>
      </w:r>
    </w:p>
    <w:p w14:paraId="78DB407E" w14:textId="3F7E341F" w:rsidR="00E81A12" w:rsidRPr="00A95263" w:rsidRDefault="00CA349B" w:rsidP="00CA349B">
      <w:pPr>
        <w:pStyle w:val="Default"/>
        <w:spacing w:line="360" w:lineRule="exact"/>
        <w:jc w:val="both"/>
        <w:rPr>
          <w:rFonts w:hAnsi="標楷體"/>
          <w:b/>
          <w:bCs/>
          <w:color w:val="auto"/>
          <w:sz w:val="28"/>
          <w:szCs w:val="28"/>
        </w:rPr>
      </w:pPr>
      <w:r w:rsidRPr="00A95263">
        <w:rPr>
          <w:rFonts w:hAnsi="標楷體" w:hint="eastAsia"/>
          <w:b/>
          <w:bCs/>
          <w:color w:val="auto"/>
          <w:sz w:val="28"/>
          <w:szCs w:val="28"/>
        </w:rPr>
        <w:t>決議：</w:t>
      </w:r>
    </w:p>
    <w:p w14:paraId="67A26AF7" w14:textId="44C5FCCF" w:rsidR="00595984" w:rsidRPr="00A95263" w:rsidRDefault="00595984" w:rsidP="00CA349B">
      <w:pPr>
        <w:pStyle w:val="Default"/>
        <w:spacing w:line="360" w:lineRule="exact"/>
        <w:jc w:val="both"/>
        <w:rPr>
          <w:rFonts w:hAnsi="標楷體"/>
          <w:color w:val="auto"/>
          <w:sz w:val="28"/>
          <w:szCs w:val="28"/>
        </w:rPr>
      </w:pPr>
      <w:proofErr w:type="gramStart"/>
      <w:r w:rsidRPr="00A95263">
        <w:rPr>
          <w:rFonts w:hAnsi="標楷體" w:hint="eastAsia"/>
          <w:color w:val="auto"/>
          <w:sz w:val="28"/>
          <w:szCs w:val="28"/>
        </w:rPr>
        <w:t>115</w:t>
      </w:r>
      <w:proofErr w:type="gramEnd"/>
      <w:r w:rsidRPr="00A95263">
        <w:rPr>
          <w:rFonts w:hAnsi="標楷體" w:hint="eastAsia"/>
          <w:color w:val="auto"/>
          <w:sz w:val="28"/>
          <w:szCs w:val="28"/>
        </w:rPr>
        <w:t>年度中央政府總預算案關於公平交易委員會單位預算</w:t>
      </w:r>
    </w:p>
    <w:p w14:paraId="0E460DAC" w14:textId="541C7DB6" w:rsidR="00A73824" w:rsidRPr="00A95263" w:rsidRDefault="00CA349B" w:rsidP="00010555">
      <w:pPr>
        <w:snapToGrid w:val="0"/>
        <w:jc w:val="both"/>
        <w:rPr>
          <w:rFonts w:ascii="標楷體" w:eastAsia="標楷體" w:hAnsi="標楷體"/>
          <w:sz w:val="28"/>
          <w:szCs w:val="28"/>
        </w:rPr>
      </w:pPr>
      <w:bookmarkStart w:id="21" w:name="歲入部分"/>
      <w:bookmarkEnd w:id="21"/>
      <w:r w:rsidRPr="00A95263">
        <w:rPr>
          <w:rFonts w:ascii="標楷體" w:eastAsia="標楷體" w:hAnsi="標楷體" w:hint="eastAsia"/>
          <w:b/>
          <w:sz w:val="28"/>
          <w:szCs w:val="28"/>
        </w:rPr>
        <w:t>一、</w:t>
      </w:r>
      <w:r w:rsidR="001454C4" w:rsidRPr="00A95263">
        <w:rPr>
          <w:rFonts w:ascii="標楷體" w:eastAsia="標楷體" w:hAnsi="標楷體"/>
          <w:b/>
          <w:sz w:val="28"/>
          <w:szCs w:val="28"/>
        </w:rPr>
        <w:t>歲入部分</w:t>
      </w:r>
    </w:p>
    <w:p w14:paraId="3087488A" w14:textId="77777777" w:rsidR="001454C4" w:rsidRPr="00A95263" w:rsidRDefault="001454C4" w:rsidP="00010555">
      <w:pPr>
        <w:snapToGrid w:val="0"/>
        <w:ind w:leftChars="50" w:left="120"/>
        <w:jc w:val="both"/>
        <w:rPr>
          <w:rFonts w:ascii="標楷體" w:eastAsia="標楷體" w:hAnsi="標楷體"/>
          <w:sz w:val="28"/>
          <w:szCs w:val="28"/>
        </w:rPr>
      </w:pPr>
      <w:r w:rsidRPr="00A95263">
        <w:rPr>
          <w:rFonts w:ascii="標楷體" w:eastAsia="標楷體" w:hAnsi="標楷體"/>
          <w:b/>
          <w:sz w:val="28"/>
          <w:szCs w:val="28"/>
        </w:rPr>
        <w:t>第2款 罰款及賠償收入</w:t>
      </w:r>
    </w:p>
    <w:p w14:paraId="50F6B3CB" w14:textId="77777777" w:rsidR="001454C4" w:rsidRPr="00A95263" w:rsidRDefault="001454C4" w:rsidP="00010555">
      <w:pPr>
        <w:snapToGrid w:val="0"/>
        <w:ind w:leftChars="150" w:left="360"/>
        <w:jc w:val="both"/>
        <w:rPr>
          <w:rFonts w:ascii="標楷體" w:eastAsia="標楷體" w:hAnsi="標楷體"/>
          <w:sz w:val="28"/>
          <w:szCs w:val="28"/>
        </w:rPr>
      </w:pPr>
      <w:r w:rsidRPr="00A95263">
        <w:rPr>
          <w:rFonts w:ascii="標楷體" w:eastAsia="標楷體" w:hAnsi="標楷體"/>
          <w:sz w:val="28"/>
          <w:szCs w:val="28"/>
        </w:rPr>
        <w:t>第17項 公平交易委員會1億1,895萬4千元，</w:t>
      </w:r>
      <w:proofErr w:type="gramStart"/>
      <w:r w:rsidRPr="00A95263">
        <w:rPr>
          <w:rFonts w:ascii="標楷體" w:eastAsia="標楷體" w:hAnsi="標楷體"/>
          <w:sz w:val="28"/>
          <w:szCs w:val="28"/>
        </w:rPr>
        <w:t>照列</w:t>
      </w:r>
      <w:proofErr w:type="gramEnd"/>
      <w:r w:rsidRPr="00A95263">
        <w:rPr>
          <w:rFonts w:ascii="標楷體" w:eastAsia="標楷體" w:hAnsi="標楷體"/>
          <w:sz w:val="28"/>
          <w:szCs w:val="28"/>
        </w:rPr>
        <w:t>。</w:t>
      </w:r>
    </w:p>
    <w:p w14:paraId="235C4E89" w14:textId="77777777" w:rsidR="001454C4" w:rsidRPr="00A95263" w:rsidRDefault="001454C4" w:rsidP="00010555">
      <w:pPr>
        <w:snapToGrid w:val="0"/>
        <w:ind w:leftChars="50" w:left="120"/>
        <w:jc w:val="both"/>
        <w:rPr>
          <w:rFonts w:ascii="標楷體" w:eastAsia="標楷體" w:hAnsi="標楷體"/>
          <w:sz w:val="28"/>
          <w:szCs w:val="28"/>
        </w:rPr>
      </w:pPr>
      <w:r w:rsidRPr="00A95263">
        <w:rPr>
          <w:rFonts w:ascii="標楷體" w:eastAsia="標楷體" w:hAnsi="標楷體"/>
          <w:b/>
          <w:sz w:val="28"/>
          <w:szCs w:val="28"/>
        </w:rPr>
        <w:t>第4款 財產收入</w:t>
      </w:r>
    </w:p>
    <w:p w14:paraId="273DA4CE" w14:textId="77777777" w:rsidR="001454C4" w:rsidRPr="00A95263" w:rsidRDefault="001454C4" w:rsidP="00010555">
      <w:pPr>
        <w:snapToGrid w:val="0"/>
        <w:ind w:leftChars="150" w:left="360"/>
        <w:jc w:val="both"/>
        <w:rPr>
          <w:rFonts w:ascii="標楷體" w:eastAsia="標楷體" w:hAnsi="標楷體"/>
          <w:sz w:val="28"/>
          <w:szCs w:val="28"/>
        </w:rPr>
      </w:pPr>
      <w:r w:rsidRPr="00A95263">
        <w:rPr>
          <w:rFonts w:ascii="標楷體" w:eastAsia="標楷體" w:hAnsi="標楷體"/>
          <w:sz w:val="28"/>
          <w:szCs w:val="28"/>
        </w:rPr>
        <w:t>第18項 公平交易委員會26萬元，</w:t>
      </w:r>
      <w:proofErr w:type="gramStart"/>
      <w:r w:rsidRPr="00A95263">
        <w:rPr>
          <w:rFonts w:ascii="標楷體" w:eastAsia="標楷體" w:hAnsi="標楷體"/>
          <w:sz w:val="28"/>
          <w:szCs w:val="28"/>
        </w:rPr>
        <w:t>照列</w:t>
      </w:r>
      <w:proofErr w:type="gramEnd"/>
      <w:r w:rsidRPr="00A95263">
        <w:rPr>
          <w:rFonts w:ascii="標楷體" w:eastAsia="標楷體" w:hAnsi="標楷體"/>
          <w:sz w:val="28"/>
          <w:szCs w:val="28"/>
        </w:rPr>
        <w:t>。</w:t>
      </w:r>
    </w:p>
    <w:p w14:paraId="02E82DCF" w14:textId="77777777" w:rsidR="001454C4" w:rsidRPr="00A95263" w:rsidRDefault="001454C4" w:rsidP="00010555">
      <w:pPr>
        <w:snapToGrid w:val="0"/>
        <w:ind w:leftChars="50" w:left="120"/>
        <w:jc w:val="both"/>
        <w:rPr>
          <w:rFonts w:ascii="標楷體" w:eastAsia="標楷體" w:hAnsi="標楷體"/>
          <w:sz w:val="28"/>
          <w:szCs w:val="28"/>
        </w:rPr>
      </w:pPr>
      <w:r w:rsidRPr="00A95263">
        <w:rPr>
          <w:rFonts w:ascii="標楷體" w:eastAsia="標楷體" w:hAnsi="標楷體"/>
          <w:b/>
          <w:sz w:val="28"/>
          <w:szCs w:val="28"/>
        </w:rPr>
        <w:t>第7款 其他收入</w:t>
      </w:r>
    </w:p>
    <w:p w14:paraId="20320FCE" w14:textId="77777777" w:rsidR="001454C4" w:rsidRPr="00A95263" w:rsidRDefault="001454C4" w:rsidP="00010555">
      <w:pPr>
        <w:snapToGrid w:val="0"/>
        <w:ind w:leftChars="150" w:left="360"/>
        <w:jc w:val="both"/>
        <w:rPr>
          <w:rFonts w:ascii="標楷體" w:eastAsia="標楷體" w:hAnsi="標楷體"/>
          <w:sz w:val="28"/>
          <w:szCs w:val="28"/>
        </w:rPr>
      </w:pPr>
      <w:r w:rsidRPr="00A95263">
        <w:rPr>
          <w:rFonts w:ascii="標楷體" w:eastAsia="標楷體" w:hAnsi="標楷體"/>
          <w:sz w:val="28"/>
          <w:szCs w:val="28"/>
        </w:rPr>
        <w:t>第18項 公平交易委員會7萬元，</w:t>
      </w:r>
      <w:proofErr w:type="gramStart"/>
      <w:r w:rsidRPr="00A95263">
        <w:rPr>
          <w:rFonts w:ascii="標楷體" w:eastAsia="標楷體" w:hAnsi="標楷體"/>
          <w:sz w:val="28"/>
          <w:szCs w:val="28"/>
        </w:rPr>
        <w:t>照列</w:t>
      </w:r>
      <w:proofErr w:type="gramEnd"/>
      <w:r w:rsidRPr="00A95263">
        <w:rPr>
          <w:rFonts w:ascii="標楷體" w:eastAsia="標楷體" w:hAnsi="標楷體"/>
          <w:sz w:val="28"/>
          <w:szCs w:val="28"/>
        </w:rPr>
        <w:t>。</w:t>
      </w:r>
    </w:p>
    <w:p w14:paraId="3B950EC1" w14:textId="2FB1F24D" w:rsidR="001454C4" w:rsidRPr="00A95263" w:rsidRDefault="00CA349B" w:rsidP="00010555">
      <w:pPr>
        <w:snapToGrid w:val="0"/>
        <w:ind w:leftChars="1" w:left="2"/>
        <w:jc w:val="both"/>
        <w:rPr>
          <w:rFonts w:ascii="標楷體" w:eastAsia="標楷體" w:hAnsi="標楷體"/>
          <w:sz w:val="28"/>
          <w:szCs w:val="28"/>
        </w:rPr>
      </w:pPr>
      <w:r w:rsidRPr="00A95263">
        <w:rPr>
          <w:rFonts w:ascii="標楷體" w:eastAsia="標楷體" w:hAnsi="標楷體" w:hint="eastAsia"/>
          <w:b/>
          <w:sz w:val="28"/>
          <w:szCs w:val="28"/>
        </w:rPr>
        <w:t>二、</w:t>
      </w:r>
      <w:r w:rsidR="001454C4" w:rsidRPr="00A95263">
        <w:rPr>
          <w:rFonts w:ascii="標楷體" w:eastAsia="標楷體" w:hAnsi="標楷體"/>
          <w:b/>
          <w:sz w:val="28"/>
          <w:szCs w:val="28"/>
        </w:rPr>
        <w:t>歲出部分</w:t>
      </w:r>
    </w:p>
    <w:p w14:paraId="6063E671" w14:textId="77777777" w:rsidR="001454C4" w:rsidRPr="00A95263" w:rsidRDefault="001454C4" w:rsidP="00010555">
      <w:pPr>
        <w:snapToGrid w:val="0"/>
        <w:ind w:leftChars="50" w:left="120"/>
        <w:jc w:val="both"/>
        <w:rPr>
          <w:rFonts w:ascii="標楷體" w:eastAsia="標楷體" w:hAnsi="標楷體"/>
          <w:sz w:val="28"/>
          <w:szCs w:val="28"/>
        </w:rPr>
      </w:pPr>
      <w:r w:rsidRPr="00A95263">
        <w:rPr>
          <w:rFonts w:ascii="標楷體" w:eastAsia="標楷體" w:hAnsi="標楷體"/>
          <w:b/>
          <w:sz w:val="28"/>
          <w:szCs w:val="28"/>
        </w:rPr>
        <w:t>第2款 行政院主管</w:t>
      </w:r>
    </w:p>
    <w:p w14:paraId="738C5F34" w14:textId="77777777" w:rsidR="001454C4" w:rsidRPr="00A95263" w:rsidRDefault="001454C4" w:rsidP="00010555">
      <w:pPr>
        <w:snapToGrid w:val="0"/>
        <w:ind w:leftChars="150" w:left="1200" w:hangingChars="300" w:hanging="840"/>
        <w:jc w:val="both"/>
        <w:rPr>
          <w:rFonts w:ascii="標楷體" w:eastAsia="標楷體" w:hAnsi="標楷體"/>
          <w:sz w:val="28"/>
          <w:szCs w:val="28"/>
        </w:rPr>
      </w:pPr>
      <w:r w:rsidRPr="00A95263">
        <w:rPr>
          <w:rFonts w:ascii="標楷體" w:eastAsia="標楷體" w:hAnsi="標楷體"/>
          <w:sz w:val="28"/>
          <w:szCs w:val="28"/>
        </w:rPr>
        <w:t>第13項 公平交易委員會3億5,700萬3千元，</w:t>
      </w:r>
      <w:proofErr w:type="gramStart"/>
      <w:r w:rsidRPr="00A95263">
        <w:rPr>
          <w:rFonts w:ascii="標楷體" w:eastAsia="標楷體" w:hAnsi="標楷體"/>
          <w:sz w:val="28"/>
          <w:szCs w:val="28"/>
        </w:rPr>
        <w:t>照列</w:t>
      </w:r>
      <w:proofErr w:type="gramEnd"/>
      <w:r w:rsidRPr="00A95263">
        <w:rPr>
          <w:rFonts w:ascii="標楷體" w:eastAsia="標楷體" w:hAnsi="標楷體"/>
          <w:sz w:val="28"/>
          <w:szCs w:val="28"/>
        </w:rPr>
        <w:t>。</w:t>
      </w:r>
    </w:p>
    <w:p w14:paraId="77D2B481" w14:textId="0E6DC616" w:rsidR="001454C4" w:rsidRPr="00A95263" w:rsidRDefault="001454C4" w:rsidP="00010555">
      <w:pPr>
        <w:snapToGrid w:val="0"/>
        <w:ind w:leftChars="150" w:left="1200" w:hangingChars="300" w:hanging="840"/>
        <w:jc w:val="both"/>
        <w:rPr>
          <w:rFonts w:ascii="標楷體" w:eastAsia="標楷體" w:hAnsi="標楷體"/>
          <w:sz w:val="28"/>
          <w:szCs w:val="28"/>
        </w:rPr>
      </w:pPr>
      <w:r w:rsidRPr="00A95263">
        <w:rPr>
          <w:rFonts w:ascii="標楷體" w:eastAsia="標楷體" w:hAnsi="標楷體"/>
          <w:sz w:val="28"/>
          <w:szCs w:val="28"/>
        </w:rPr>
        <w:t>本項通過決議</w:t>
      </w:r>
      <w:r w:rsidR="00591E84" w:rsidRPr="00A95263">
        <w:rPr>
          <w:rFonts w:ascii="標楷體" w:eastAsia="標楷體" w:hAnsi="標楷體" w:hint="eastAsia"/>
          <w:sz w:val="28"/>
          <w:szCs w:val="28"/>
        </w:rPr>
        <w:t>5</w:t>
      </w:r>
      <w:r w:rsidR="00375299">
        <w:rPr>
          <w:rFonts w:ascii="標楷體" w:eastAsia="標楷體" w:hAnsi="標楷體" w:hint="eastAsia"/>
          <w:sz w:val="28"/>
          <w:szCs w:val="28"/>
        </w:rPr>
        <w:t>1</w:t>
      </w:r>
      <w:r w:rsidRPr="00A95263">
        <w:rPr>
          <w:rFonts w:ascii="標楷體" w:eastAsia="標楷體" w:hAnsi="標楷體"/>
          <w:sz w:val="28"/>
          <w:szCs w:val="28"/>
        </w:rPr>
        <w:t>項：</w:t>
      </w:r>
    </w:p>
    <w:p w14:paraId="75896BDC" w14:textId="77777777" w:rsidR="00A95263" w:rsidRPr="00A95263" w:rsidRDefault="00A95263" w:rsidP="00A95263">
      <w:pPr>
        <w:pStyle w:val="a3"/>
        <w:numPr>
          <w:ilvl w:val="0"/>
          <w:numId w:val="8"/>
        </w:numPr>
        <w:snapToGrid w:val="0"/>
        <w:ind w:leftChars="178" w:left="987" w:hangingChars="200" w:hanging="560"/>
        <w:jc w:val="both"/>
        <w:rPr>
          <w:rFonts w:ascii="標楷體" w:eastAsia="標楷體" w:hAnsi="標楷體" w:cstheme="minorBidi"/>
          <w:sz w:val="28"/>
          <w:szCs w:val="28"/>
        </w:rPr>
      </w:pPr>
      <w:r w:rsidRPr="00A95263">
        <w:rPr>
          <w:rFonts w:ascii="標楷體" w:eastAsia="標楷體" w:hAnsi="標楷體" w:hint="eastAsia"/>
          <w:noProof/>
          <w:sz w:val="28"/>
          <w:szCs w:val="28"/>
        </w:rPr>
        <w:t>依預算書表所示，115年度公平交易委員會預算於歲入第1目「罰金罰鍰及怠金」編列1億1,895萬4千元。惟近年部分重大案件因行政救濟階段尚未確定而暫列預收款，且迄113年8月底，應收罰金罰鍰仍有高達3,174萬9千元未收繳，甚有已註銷之鉅額罰金，顯示罰鍰收繳作業有極大加強空間。爰請公平交易委員會於3個月內，就歷時多年未能有效徵起罰鍰之問題研討改善方案，並向立法院經濟委員會提出書面報告，以維護國家公權力及保障債權。</w:t>
      </w:r>
      <w:r w:rsidRPr="00A95263">
        <w:rPr>
          <w:rFonts w:ascii="標楷體" w:eastAsia="標楷體" w:hAnsi="標楷體" w:hint="eastAsia"/>
          <w:sz w:val="28"/>
          <w:szCs w:val="28"/>
        </w:rPr>
        <w:t>【</w:t>
      </w:r>
      <w:r w:rsidRPr="00A95263">
        <w:rPr>
          <w:rFonts w:ascii="標楷體" w:eastAsia="標楷體" w:hAnsi="標楷體" w:hint="eastAsia"/>
          <w:noProof/>
          <w:sz w:val="28"/>
          <w:szCs w:val="28"/>
        </w:rPr>
        <w:t>40</w:t>
      </w:r>
      <w:r w:rsidRPr="00A95263">
        <w:rPr>
          <w:rFonts w:ascii="標楷體" w:eastAsia="標楷體" w:hAnsi="標楷體" w:hint="eastAsia"/>
          <w:sz w:val="28"/>
          <w:szCs w:val="28"/>
        </w:rPr>
        <w:t>】</w:t>
      </w:r>
    </w:p>
    <w:p w14:paraId="33FBD40E"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sz w:val="28"/>
          <w:szCs w:val="28"/>
        </w:rPr>
        <w:t>提案人：陳超明</w:t>
      </w:r>
    </w:p>
    <w:p w14:paraId="5F02DDBF"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連署人：鄭天財　呂玉玲</w:t>
      </w:r>
    </w:p>
    <w:p w14:paraId="0C01DF3A" w14:textId="77777777" w:rsidR="00A95263" w:rsidRPr="00A95263" w:rsidRDefault="00A95263" w:rsidP="00A95263">
      <w:pPr>
        <w:pStyle w:val="a3"/>
        <w:numPr>
          <w:ilvl w:val="0"/>
          <w:numId w:val="8"/>
        </w:numPr>
        <w:snapToGrid w:val="0"/>
        <w:ind w:leftChars="178" w:left="987" w:hangingChars="200" w:hanging="560"/>
        <w:jc w:val="both"/>
        <w:rPr>
          <w:rFonts w:ascii="標楷體" w:eastAsia="標楷體" w:hAnsi="標楷體"/>
          <w:noProof/>
          <w:sz w:val="28"/>
          <w:szCs w:val="28"/>
        </w:rPr>
      </w:pPr>
      <w:r w:rsidRPr="00A95263">
        <w:rPr>
          <w:rFonts w:ascii="標楷體" w:eastAsia="標楷體" w:hAnsi="標楷體" w:hint="eastAsia"/>
          <w:noProof/>
          <w:sz w:val="28"/>
          <w:szCs w:val="28"/>
        </w:rPr>
        <w:t>依據「多層次傳銷管理法」所設置財團法人多層次傳銷保護基金會，其主要職責為協助傳銷事業和傳銷商之糾紛協調，促使傳銷事業設置糾紛處理機制，並增進雙方對傳銷法規專業知識瞭解。惟截至114年，多層次傳銷保護基金會僅完成189家傳銷事業之輔導，占比僅49.22%。然公平交易委員會對於輔導成效不濟之事實，竟以部分傳銷事業已具備完善糾紛處理制度，無需基金會介入作為理由加以推諉，顯見多層次傳銷保護基金會已有失職疑慮。妥此，公平交易委員會允宜落實監督，要求多層次傳銷保護基金會加強輔導傳銷事業，以擴大對傳銷商之權益維護。【</w:t>
      </w:r>
      <w:r w:rsidRPr="00A95263">
        <w:rPr>
          <w:rFonts w:ascii="標楷體" w:eastAsia="標楷體" w:hAnsi="標楷體"/>
          <w:noProof/>
          <w:sz w:val="28"/>
          <w:szCs w:val="28"/>
        </w:rPr>
        <w:t>41</w:t>
      </w:r>
      <w:r w:rsidRPr="00A95263">
        <w:rPr>
          <w:rFonts w:ascii="標楷體" w:eastAsia="標楷體" w:hAnsi="標楷體" w:hint="eastAsia"/>
          <w:noProof/>
          <w:sz w:val="28"/>
          <w:szCs w:val="28"/>
        </w:rPr>
        <w:t>】</w:t>
      </w:r>
    </w:p>
    <w:p w14:paraId="3EDD6AB2"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提案人：呂玉玲　鄭正鈐　鄭天財</w:t>
      </w:r>
    </w:p>
    <w:p w14:paraId="4F52F219" w14:textId="77DC2518" w:rsidR="00A95263" w:rsidRPr="00A95263" w:rsidRDefault="00A95263" w:rsidP="00A95263">
      <w:pPr>
        <w:pStyle w:val="a3"/>
        <w:numPr>
          <w:ilvl w:val="0"/>
          <w:numId w:val="8"/>
        </w:numPr>
        <w:snapToGrid w:val="0"/>
        <w:ind w:leftChars="178" w:left="987" w:hangingChars="200" w:hanging="560"/>
        <w:jc w:val="both"/>
        <w:rPr>
          <w:rFonts w:ascii="標楷體" w:eastAsia="標楷體" w:hAnsi="標楷體"/>
          <w:noProof/>
          <w:sz w:val="28"/>
          <w:szCs w:val="28"/>
        </w:rPr>
      </w:pPr>
      <w:r w:rsidRPr="00A95263">
        <w:rPr>
          <w:rFonts w:ascii="標楷體" w:eastAsia="標楷體" w:hAnsi="標楷體" w:hint="eastAsia"/>
          <w:noProof/>
          <w:sz w:val="28"/>
          <w:szCs w:val="28"/>
        </w:rPr>
        <w:t>連鎖加盟創業型態在</w:t>
      </w:r>
      <w:r w:rsidR="00375299">
        <w:rPr>
          <w:rFonts w:ascii="標楷體" w:eastAsia="標楷體" w:hAnsi="標楷體" w:hint="eastAsia"/>
          <w:noProof/>
          <w:sz w:val="28"/>
          <w:szCs w:val="28"/>
        </w:rPr>
        <w:t>臺</w:t>
      </w:r>
      <w:r w:rsidRPr="00A95263">
        <w:rPr>
          <w:rFonts w:ascii="標楷體" w:eastAsia="標楷體" w:hAnsi="標楷體" w:hint="eastAsia"/>
          <w:noProof/>
          <w:sz w:val="28"/>
          <w:szCs w:val="28"/>
        </w:rPr>
        <w:t>灣日益蓬勃發展，臺灣連鎖暨加盟協會普查資料顯示，113年連鎖品牌總店數高達11萬8</w:t>
      </w:r>
      <w:r w:rsidRPr="00A95263">
        <w:rPr>
          <w:rFonts w:ascii="標楷體" w:eastAsia="標楷體" w:hAnsi="標楷體"/>
          <w:noProof/>
          <w:sz w:val="28"/>
          <w:szCs w:val="28"/>
        </w:rPr>
        <w:t>,</w:t>
      </w:r>
      <w:r w:rsidRPr="00A95263">
        <w:rPr>
          <w:rFonts w:ascii="標楷體" w:eastAsia="標楷體" w:hAnsi="標楷體" w:hint="eastAsia"/>
          <w:noProof/>
          <w:sz w:val="28"/>
          <w:szCs w:val="28"/>
        </w:rPr>
        <w:t>952家，惟加盟業者與加盟商存在資訊不對稱，109至114年，公平交易委員會已依據</w:t>
      </w:r>
      <w:r w:rsidRPr="00A95263">
        <w:rPr>
          <w:rFonts w:ascii="標楷體" w:eastAsia="標楷體" w:hAnsi="標楷體" w:hint="eastAsia"/>
          <w:noProof/>
          <w:sz w:val="28"/>
          <w:szCs w:val="28"/>
        </w:rPr>
        <w:lastRenderedPageBreak/>
        <w:t>「公平交易法」第21和25條，針對違反公平競爭之16家加盟業者處以323萬罰鍰，公平交易委員會允宜加強對業者宣導，以避免觸法行為嚴重影響連鎖加盟交易秩序。【</w:t>
      </w:r>
      <w:r w:rsidRPr="00A95263">
        <w:rPr>
          <w:rFonts w:ascii="標楷體" w:eastAsia="標楷體" w:hAnsi="標楷體"/>
          <w:noProof/>
          <w:sz w:val="28"/>
          <w:szCs w:val="28"/>
        </w:rPr>
        <w:t>42</w:t>
      </w:r>
      <w:r w:rsidRPr="00A95263">
        <w:rPr>
          <w:rFonts w:ascii="標楷體" w:eastAsia="標楷體" w:hAnsi="標楷體" w:hint="eastAsia"/>
          <w:noProof/>
          <w:sz w:val="28"/>
          <w:szCs w:val="28"/>
        </w:rPr>
        <w:t>】</w:t>
      </w:r>
    </w:p>
    <w:p w14:paraId="3C1E9534"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提案人：呂玉玲　鄭正鈐　鄭天財</w:t>
      </w:r>
    </w:p>
    <w:p w14:paraId="7C4EC9D9" w14:textId="77777777" w:rsidR="00A95263" w:rsidRPr="00A95263" w:rsidRDefault="00A95263" w:rsidP="00A95263">
      <w:pPr>
        <w:pStyle w:val="a3"/>
        <w:numPr>
          <w:ilvl w:val="0"/>
          <w:numId w:val="8"/>
        </w:numPr>
        <w:snapToGrid w:val="0"/>
        <w:ind w:leftChars="178" w:left="987" w:hangingChars="200" w:hanging="560"/>
        <w:jc w:val="both"/>
        <w:rPr>
          <w:rFonts w:ascii="標楷體" w:eastAsia="標楷體" w:hAnsi="標楷體"/>
          <w:noProof/>
          <w:sz w:val="28"/>
          <w:szCs w:val="28"/>
        </w:rPr>
      </w:pPr>
      <w:r w:rsidRPr="00A95263">
        <w:rPr>
          <w:rFonts w:ascii="標楷體" w:eastAsia="標楷體" w:hAnsi="標楷體" w:hint="eastAsia"/>
          <w:noProof/>
          <w:sz w:val="28"/>
          <w:szCs w:val="28"/>
        </w:rPr>
        <w:t>我國電信業者於109年中旬陸續提供5G服務，惟據國家通訊傳播委員會（NCC）發布的「114年通訊市場調查結果摘要」指出，民眾4G轉換到5G服務比例由112年25.5%上升至114年38.7%，未轉換比例仍有60.1%，超過七成原因認為「目前使用的4G服務已足夠滿足需求」，而多數民眾轉換至5G服務主因係為「換約或購機優惠」，根據統計，114年第4季4G用戶數仍達1,659.4萬戶，可見自109年提供5G服務迄今已屆5年，仍未見民眾積極轉換，惟為促使用戶轉換，日前已有電信業者停售經銷通路4G吃到飽資費方案，由於行動通訊市場服務同質性高，具寡占特性，價格與服務為業者競爭主要手段，片面中止優惠恐導致流失用戶，業者不會自甘冒險，反使外界質疑為變相逼迫民眾轉換之舉措，進而引發壟斷「聯合下架」4G吃到飽之聯想，公平交易委員會應儘速主動調查，以維護民眾權益。【</w:t>
      </w:r>
      <w:r w:rsidRPr="00A95263">
        <w:rPr>
          <w:rFonts w:ascii="標楷體" w:eastAsia="標楷體" w:hAnsi="標楷體"/>
          <w:noProof/>
          <w:sz w:val="28"/>
          <w:szCs w:val="28"/>
        </w:rPr>
        <w:t>43</w:t>
      </w:r>
      <w:r w:rsidRPr="00A95263">
        <w:rPr>
          <w:rFonts w:ascii="標楷體" w:eastAsia="標楷體" w:hAnsi="標楷體" w:hint="eastAsia"/>
          <w:noProof/>
          <w:sz w:val="28"/>
          <w:szCs w:val="28"/>
        </w:rPr>
        <w:t>】</w:t>
      </w:r>
    </w:p>
    <w:p w14:paraId="75A2817D" w14:textId="77777777" w:rsidR="00A95263" w:rsidRPr="00A95263" w:rsidRDefault="00A95263" w:rsidP="00A95263">
      <w:pPr>
        <w:snapToGrid w:val="0"/>
        <w:ind w:leftChars="1500" w:left="4776" w:hangingChars="420" w:hanging="1176"/>
        <w:jc w:val="distribute"/>
        <w:rPr>
          <w:rFonts w:ascii="標楷體" w:eastAsia="標楷體" w:hAnsi="標楷體"/>
          <w:sz w:val="28"/>
          <w:szCs w:val="28"/>
        </w:rPr>
      </w:pPr>
      <w:r w:rsidRPr="00A95263">
        <w:rPr>
          <w:rFonts w:ascii="標楷體" w:eastAsia="標楷體" w:hAnsi="標楷體" w:hint="eastAsia"/>
          <w:sz w:val="28"/>
          <w:szCs w:val="28"/>
        </w:rPr>
        <w:t>提案人：張嘉郡　楊瓊瓔　呂玉玲　鄭正鈐</w:t>
      </w:r>
    </w:p>
    <w:p w14:paraId="764E9BC2" w14:textId="7A4D3B95" w:rsidR="00A95263" w:rsidRPr="00A95263" w:rsidRDefault="00A95263" w:rsidP="00A95263">
      <w:pPr>
        <w:pStyle w:val="a3"/>
        <w:numPr>
          <w:ilvl w:val="0"/>
          <w:numId w:val="8"/>
        </w:numPr>
        <w:snapToGrid w:val="0"/>
        <w:ind w:leftChars="178" w:left="987" w:hangingChars="200" w:hanging="560"/>
        <w:jc w:val="both"/>
        <w:rPr>
          <w:rFonts w:ascii="標楷體" w:eastAsia="標楷體" w:hAnsi="標楷體"/>
          <w:noProof/>
          <w:sz w:val="28"/>
          <w:szCs w:val="28"/>
        </w:rPr>
      </w:pPr>
      <w:r w:rsidRPr="00A95263">
        <w:rPr>
          <w:rFonts w:ascii="標楷體" w:eastAsia="標楷體" w:hAnsi="標楷體" w:hint="eastAsia"/>
          <w:noProof/>
          <w:sz w:val="28"/>
          <w:szCs w:val="28"/>
        </w:rPr>
        <w:t>隨著國內外推進淨零碳排，碳權交易與綠色轉型成為企業重點，公平交易委員會雖已委託進行「國內碳權交易市場相關競爭議題之研究」，並舉辦「事業因應環境永續涉及聯合行為之參考指引」宣導</w:t>
      </w:r>
      <w:r w:rsidR="001B7D03">
        <w:rPr>
          <w:rFonts w:ascii="標楷體" w:eastAsia="標楷體" w:hAnsi="標楷體" w:hint="eastAsia"/>
          <w:noProof/>
          <w:sz w:val="28"/>
          <w:szCs w:val="28"/>
        </w:rPr>
        <w:t>，</w:t>
      </w:r>
      <w:r w:rsidRPr="00A95263">
        <w:rPr>
          <w:rFonts w:ascii="標楷體" w:eastAsia="標楷體" w:hAnsi="標楷體" w:hint="eastAsia"/>
          <w:noProof/>
          <w:sz w:val="28"/>
          <w:szCs w:val="28"/>
        </w:rPr>
        <w:t>但實務上，企業極易以「反映綠能成本」或「遵循環保法規」為由，進行聯合漲價或發表不實之綠色宣稱（漂綠）。</w:t>
      </w:r>
      <w:proofErr w:type="gramStart"/>
      <w:r w:rsidRPr="00A95263">
        <w:rPr>
          <w:rFonts w:ascii="標楷體" w:eastAsia="標楷體" w:hAnsi="標楷體" w:hint="eastAsia"/>
          <w:sz w:val="28"/>
          <w:szCs w:val="28"/>
        </w:rPr>
        <w:t>爰</w:t>
      </w:r>
      <w:proofErr w:type="gramEnd"/>
      <w:r w:rsidRPr="00A95263">
        <w:rPr>
          <w:rFonts w:ascii="標楷體" w:eastAsia="標楷體" w:hAnsi="標楷體" w:hint="eastAsia"/>
          <w:sz w:val="28"/>
          <w:szCs w:val="28"/>
        </w:rPr>
        <w:t>請公平交易委員會</w:t>
      </w:r>
      <w:proofErr w:type="gramStart"/>
      <w:r w:rsidRPr="00A95263">
        <w:rPr>
          <w:rFonts w:ascii="標楷體" w:eastAsia="標楷體" w:hAnsi="標楷體" w:hint="eastAsia"/>
          <w:sz w:val="28"/>
          <w:szCs w:val="28"/>
        </w:rPr>
        <w:t>針對碳權交易</w:t>
      </w:r>
      <w:proofErr w:type="gramEnd"/>
      <w:r w:rsidRPr="00A95263">
        <w:rPr>
          <w:rFonts w:ascii="標楷體" w:eastAsia="標楷體" w:hAnsi="標楷體" w:hint="eastAsia"/>
          <w:sz w:val="28"/>
          <w:szCs w:val="28"/>
        </w:rPr>
        <w:t>市場及企業綠色轉型過程，是否涉有不當定價、聯合漲價或不實廣告等，持續密切關注市場競爭動態，主動查處不法行為，</w:t>
      </w:r>
      <w:proofErr w:type="gramStart"/>
      <w:r w:rsidRPr="00A95263">
        <w:rPr>
          <w:rFonts w:ascii="標楷體" w:eastAsia="標楷體" w:hAnsi="標楷體" w:hint="eastAsia"/>
          <w:sz w:val="28"/>
          <w:szCs w:val="28"/>
        </w:rPr>
        <w:t>俾</w:t>
      </w:r>
      <w:proofErr w:type="gramEnd"/>
      <w:r w:rsidRPr="00A95263">
        <w:rPr>
          <w:rFonts w:ascii="標楷體" w:eastAsia="標楷體" w:hAnsi="標楷體" w:hint="eastAsia"/>
          <w:sz w:val="28"/>
          <w:szCs w:val="28"/>
        </w:rPr>
        <w:t>維市場交易秩序。【</w:t>
      </w:r>
      <w:r w:rsidRPr="00A95263">
        <w:rPr>
          <w:rFonts w:ascii="標楷體" w:eastAsia="標楷體" w:hAnsi="標楷體"/>
          <w:sz w:val="28"/>
          <w:szCs w:val="28"/>
        </w:rPr>
        <w:t>44</w:t>
      </w:r>
      <w:r w:rsidRPr="00A95263">
        <w:rPr>
          <w:rFonts w:ascii="標楷體" w:eastAsia="標楷體" w:hAnsi="標楷體" w:hint="eastAsia"/>
          <w:sz w:val="28"/>
          <w:szCs w:val="28"/>
        </w:rPr>
        <w:t>】</w:t>
      </w:r>
    </w:p>
    <w:p w14:paraId="40BA4B5A"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提案人：陳超明</w:t>
      </w:r>
    </w:p>
    <w:p w14:paraId="45E9887F"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連署人：鄭天財　呂玉玲</w:t>
      </w:r>
    </w:p>
    <w:p w14:paraId="2B2650F2" w14:textId="77777777" w:rsidR="00A95263" w:rsidRPr="00A95263" w:rsidRDefault="00A95263" w:rsidP="00A95263">
      <w:pPr>
        <w:pStyle w:val="a3"/>
        <w:numPr>
          <w:ilvl w:val="0"/>
          <w:numId w:val="8"/>
        </w:numPr>
        <w:snapToGrid w:val="0"/>
        <w:ind w:leftChars="178" w:left="987" w:hangingChars="200" w:hanging="560"/>
        <w:jc w:val="both"/>
        <w:rPr>
          <w:rFonts w:ascii="標楷體" w:eastAsia="標楷體" w:hAnsi="標楷體"/>
          <w:noProof/>
          <w:sz w:val="28"/>
          <w:szCs w:val="28"/>
        </w:rPr>
      </w:pPr>
      <w:r w:rsidRPr="00A95263">
        <w:rPr>
          <w:rFonts w:ascii="標楷體" w:eastAsia="標楷體" w:hAnsi="標楷體" w:hint="eastAsia"/>
          <w:noProof/>
          <w:sz w:val="28"/>
          <w:szCs w:val="28"/>
        </w:rPr>
        <w:t>鑑於公平交易委員會近年處分案件提起行政救濟之件數仍高，自90至113年度行政救濟階段尚未確定案件計103家。經查，截至114年7月底，罰金罰鍰預收款金額高達60億7,402萬6千元，其中屬106年度以前之陳年案件預收款即達44億1,350萬元，占比高達72.66%。由於行政處分長期處於未確定狀態，導致罰金罰鍰無法轉正收入，亦顯示執法事證強度與行政救濟攻防仍有精進空間。為此，請公平交易委員會應積極盤整歷年行政救濟撤銷型態，強化競爭法專業資料庫之調查分析能力，提升執法品質與事證強度，以維護市場競爭秩序與消費者權益。【</w:t>
      </w:r>
      <w:r w:rsidRPr="00A95263">
        <w:rPr>
          <w:rFonts w:ascii="標楷體" w:eastAsia="標楷體" w:hAnsi="標楷體"/>
          <w:noProof/>
          <w:sz w:val="28"/>
          <w:szCs w:val="28"/>
        </w:rPr>
        <w:t>45</w:t>
      </w:r>
      <w:r w:rsidRPr="00A95263">
        <w:rPr>
          <w:rFonts w:ascii="標楷體" w:eastAsia="標楷體" w:hAnsi="標楷體" w:hint="eastAsia"/>
          <w:noProof/>
          <w:sz w:val="28"/>
          <w:szCs w:val="28"/>
        </w:rPr>
        <w:t>】</w:t>
      </w:r>
    </w:p>
    <w:p w14:paraId="77FC2176"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提案人：楊瓊瓔　呂玉玲　鄭天財</w:t>
      </w:r>
    </w:p>
    <w:p w14:paraId="570E46DB" w14:textId="226F31DE" w:rsidR="00A95263" w:rsidRPr="00A95263" w:rsidRDefault="00A95263" w:rsidP="00A95263">
      <w:pPr>
        <w:pStyle w:val="a3"/>
        <w:numPr>
          <w:ilvl w:val="0"/>
          <w:numId w:val="8"/>
        </w:numPr>
        <w:snapToGrid w:val="0"/>
        <w:ind w:leftChars="178" w:left="987" w:hangingChars="200" w:hanging="560"/>
        <w:jc w:val="both"/>
        <w:rPr>
          <w:rFonts w:ascii="標楷體" w:eastAsia="標楷體" w:hAnsi="標楷體"/>
          <w:noProof/>
          <w:sz w:val="28"/>
          <w:szCs w:val="28"/>
        </w:rPr>
      </w:pPr>
      <w:r w:rsidRPr="00A95263">
        <w:rPr>
          <w:rFonts w:ascii="標楷體" w:eastAsia="標楷體" w:hAnsi="標楷體" w:hint="eastAsia"/>
          <w:noProof/>
          <w:sz w:val="28"/>
          <w:szCs w:val="28"/>
        </w:rPr>
        <w:t>近年違法聯合行為經處分之案件數持續增加，顯示部分事業對「公</w:t>
      </w:r>
      <w:r w:rsidRPr="00A95263">
        <w:rPr>
          <w:rFonts w:ascii="標楷體" w:eastAsia="標楷體" w:hAnsi="標楷體" w:hint="eastAsia"/>
          <w:noProof/>
          <w:sz w:val="28"/>
          <w:szCs w:val="28"/>
        </w:rPr>
        <w:lastRenderedPageBreak/>
        <w:t>平交易法」之認知仍有不足，衝擊市場交易秩序與消費者權益。據統計，112及113年度經行政處分之聯合行為案件分別達10及16件，較以往年度明顯增加</w:t>
      </w:r>
      <w:r w:rsidR="00375299">
        <w:rPr>
          <w:rFonts w:ascii="標楷體" w:eastAsia="標楷體" w:hAnsi="標楷體" w:hint="eastAsia"/>
          <w:noProof/>
          <w:sz w:val="28"/>
          <w:szCs w:val="28"/>
        </w:rPr>
        <w:t>，</w:t>
      </w:r>
      <w:r w:rsidRPr="00A95263">
        <w:rPr>
          <w:rFonts w:ascii="標楷體" w:eastAsia="標楷體" w:hAnsi="標楷體" w:hint="eastAsia"/>
          <w:noProof/>
          <w:sz w:val="28"/>
          <w:szCs w:val="28"/>
        </w:rPr>
        <w:t>且109至113年底的處分案件中，經檢舉後調查案件數超過總數六成，顯示公平交易委員會對市場競爭動態的主動掌握與宣導尚有強化空間。為此，公平交易委員會允宜加強與產業主管機關分工合作及溝通宣導，主動積極查處疑似違法聯合行為，並研謀改善對禁止聯合行為之宣導，以有效維護市場交易秩序與消費者權益。【</w:t>
      </w:r>
      <w:r w:rsidRPr="00A95263">
        <w:rPr>
          <w:rFonts w:ascii="標楷體" w:eastAsia="標楷體" w:hAnsi="標楷體"/>
          <w:noProof/>
          <w:sz w:val="28"/>
          <w:szCs w:val="28"/>
        </w:rPr>
        <w:t>47</w:t>
      </w:r>
      <w:r w:rsidRPr="00A95263">
        <w:rPr>
          <w:rFonts w:ascii="標楷體" w:eastAsia="標楷體" w:hAnsi="標楷體" w:hint="eastAsia"/>
          <w:noProof/>
          <w:sz w:val="28"/>
          <w:szCs w:val="28"/>
        </w:rPr>
        <w:t>】</w:t>
      </w:r>
    </w:p>
    <w:p w14:paraId="59C12BAE"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提案人：楊瓊瓔　呂玉玲　鄭天財</w:t>
      </w:r>
    </w:p>
    <w:p w14:paraId="62B5902B" w14:textId="77777777" w:rsidR="00A95263" w:rsidRPr="00A95263" w:rsidRDefault="00A95263" w:rsidP="00A95263">
      <w:pPr>
        <w:pStyle w:val="a3"/>
        <w:numPr>
          <w:ilvl w:val="0"/>
          <w:numId w:val="8"/>
        </w:numPr>
        <w:snapToGrid w:val="0"/>
        <w:ind w:leftChars="178" w:left="987" w:hangingChars="200" w:hanging="560"/>
        <w:jc w:val="both"/>
        <w:rPr>
          <w:rFonts w:ascii="標楷體" w:eastAsia="標楷體" w:hAnsi="標楷體"/>
          <w:sz w:val="28"/>
          <w:szCs w:val="28"/>
        </w:rPr>
      </w:pPr>
      <w:r w:rsidRPr="00A95263">
        <w:rPr>
          <w:rFonts w:ascii="標楷體" w:eastAsia="標楷體" w:hAnsi="標楷體" w:hint="eastAsia"/>
          <w:noProof/>
          <w:sz w:val="28"/>
          <w:szCs w:val="28"/>
        </w:rPr>
        <w:t>有鑑於連鎖加盟產業在我國發展漸趨成熟多元，惟加盟業主與有意加盟者間存有高度訊息不對稱性，導致部分加盟業主未能依「公平交易委員會對於加盟業主經營行為案件之處理原則」規定揭露重要資訊，損害有意加盟者權益。據統計，109至114年7月底處分加盟業主違反「公平交易法」之案件計15件，其中主要違法態樣為未充分揭露營運期間各項費用及對加盟經營關係之限制。又查有加盟業主於遭處分後仍未立即停止違法行為而再次受罰，顯示業者對法令規範認知不足。為此，請公平交易委員會加強對加盟業主之宣導，尤其針對契約存續期間限制與各項費用資訊揭露等主要違法態樣，確保業者確切落實遵循「公平交易委員會對於加盟業主經營行為案件之處理原則」，以保障加盟者之創業權利與市場交易秩序。【</w:t>
      </w:r>
      <w:r w:rsidRPr="00A95263">
        <w:rPr>
          <w:rFonts w:ascii="標楷體" w:eastAsia="標楷體" w:hAnsi="標楷體"/>
          <w:noProof/>
          <w:sz w:val="28"/>
          <w:szCs w:val="28"/>
        </w:rPr>
        <w:t>48</w:t>
      </w:r>
      <w:r w:rsidRPr="00A95263">
        <w:rPr>
          <w:rFonts w:ascii="標楷體" w:eastAsia="標楷體" w:hAnsi="標楷體" w:hint="eastAsia"/>
          <w:noProof/>
          <w:sz w:val="28"/>
          <w:szCs w:val="28"/>
        </w:rPr>
        <w:t>】</w:t>
      </w:r>
    </w:p>
    <w:p w14:paraId="6A68B948"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提案人：楊瓊瓔　呂玉玲　鄭天財</w:t>
      </w:r>
    </w:p>
    <w:p w14:paraId="4E98DC11" w14:textId="3F7E29AD" w:rsidR="00A95263" w:rsidRPr="00A95263" w:rsidRDefault="00A95263" w:rsidP="00A95263">
      <w:pPr>
        <w:pStyle w:val="a3"/>
        <w:numPr>
          <w:ilvl w:val="0"/>
          <w:numId w:val="8"/>
        </w:numPr>
        <w:snapToGrid w:val="0"/>
        <w:ind w:leftChars="178" w:left="987" w:hangingChars="200" w:hanging="560"/>
        <w:jc w:val="both"/>
        <w:rPr>
          <w:rFonts w:ascii="標楷體" w:eastAsia="標楷體" w:hAnsi="標楷體"/>
          <w:noProof/>
          <w:sz w:val="28"/>
          <w:szCs w:val="28"/>
        </w:rPr>
      </w:pPr>
      <w:r w:rsidRPr="00A95263">
        <w:rPr>
          <w:rFonts w:ascii="標楷體" w:eastAsia="標楷體" w:hAnsi="標楷體" w:hint="eastAsia"/>
          <w:noProof/>
          <w:sz w:val="28"/>
          <w:szCs w:val="28"/>
        </w:rPr>
        <w:t>依據「公平交易法」第15條第1項規定，除部分有益於整體經濟與公共利益者，如為降低成本、改良品質或增進效率，而統一商品或服務之規格或型式等，經申請主管機關許可者外，事業不得為聯合行為。依公平交易委員會統計，自109至113年底針對聯合行為共裁處41件，罰鍰金額合</w:t>
      </w:r>
      <w:r w:rsidR="00EE7F04">
        <w:rPr>
          <w:rFonts w:ascii="標楷體" w:eastAsia="標楷體" w:hAnsi="標楷體" w:hint="eastAsia"/>
          <w:noProof/>
          <w:sz w:val="28"/>
          <w:szCs w:val="28"/>
        </w:rPr>
        <w:t>計</w:t>
      </w:r>
      <w:r w:rsidRPr="00A95263">
        <w:rPr>
          <w:rFonts w:ascii="標楷體" w:eastAsia="標楷體" w:hAnsi="標楷體" w:hint="eastAsia"/>
          <w:noProof/>
          <w:sz w:val="28"/>
          <w:szCs w:val="28"/>
        </w:rPr>
        <w:t>24億5,674萬元。其中由公平會主動調查者15件，經檢舉後調查者26件，占比逾六成。另112及113年度聯合行為處分案件分別為10及16件，較</w:t>
      </w:r>
      <w:r w:rsidR="00EE7F04">
        <w:rPr>
          <w:rFonts w:ascii="標楷體" w:eastAsia="標楷體" w:hAnsi="標楷體" w:hint="eastAsia"/>
          <w:noProof/>
          <w:sz w:val="28"/>
          <w:szCs w:val="28"/>
        </w:rPr>
        <w:t>以往</w:t>
      </w:r>
      <w:r w:rsidRPr="00A95263">
        <w:rPr>
          <w:rFonts w:ascii="標楷體" w:eastAsia="標楷體" w:hAnsi="標楷體" w:hint="eastAsia"/>
          <w:noProof/>
          <w:sz w:val="28"/>
          <w:szCs w:val="28"/>
        </w:rPr>
        <w:t>年度顯著增加，顯示部分事業對於禁止聯合行為之法令認知與自律仍有不足。爰此，公平交易委員會應持續密切關注市場競爭動態，強化跨部會合作，並與產業主管機關建立通報及分工機制，定期辦理教育宣導及業界交流，以落實市場公平競爭秩序，維護消費者權益與產業健全發展。【</w:t>
      </w:r>
      <w:r w:rsidRPr="00A95263">
        <w:rPr>
          <w:rFonts w:ascii="標楷體" w:eastAsia="標楷體" w:hAnsi="標楷體"/>
          <w:noProof/>
          <w:sz w:val="28"/>
          <w:szCs w:val="28"/>
        </w:rPr>
        <w:t>49</w:t>
      </w:r>
      <w:r w:rsidRPr="00A95263">
        <w:rPr>
          <w:rFonts w:ascii="標楷體" w:eastAsia="標楷體" w:hAnsi="標楷體" w:hint="eastAsia"/>
          <w:noProof/>
          <w:sz w:val="28"/>
          <w:szCs w:val="28"/>
        </w:rPr>
        <w:t>】</w:t>
      </w:r>
    </w:p>
    <w:p w14:paraId="593F5B01"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提案人：蔡易餘</w:t>
      </w:r>
    </w:p>
    <w:p w14:paraId="6E93259A"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連署人：邱議瑩　邱志偉</w:t>
      </w:r>
    </w:p>
    <w:p w14:paraId="1E1688E5" w14:textId="653DAC82" w:rsidR="00A95263" w:rsidRPr="00A95263" w:rsidRDefault="00A95263" w:rsidP="00375299">
      <w:pPr>
        <w:pStyle w:val="a3"/>
        <w:numPr>
          <w:ilvl w:val="0"/>
          <w:numId w:val="8"/>
        </w:numPr>
        <w:snapToGrid w:val="0"/>
        <w:ind w:leftChars="178" w:left="987" w:hangingChars="200" w:hanging="560"/>
        <w:jc w:val="both"/>
        <w:rPr>
          <w:rFonts w:ascii="標楷體" w:eastAsia="標楷體" w:hAnsi="標楷體"/>
          <w:noProof/>
          <w:sz w:val="28"/>
          <w:szCs w:val="28"/>
        </w:rPr>
      </w:pPr>
      <w:r w:rsidRPr="00A95263">
        <w:rPr>
          <w:rFonts w:ascii="標楷體" w:eastAsia="標楷體" w:hAnsi="標楷體" w:hint="eastAsia"/>
          <w:noProof/>
          <w:sz w:val="28"/>
          <w:szCs w:val="28"/>
        </w:rPr>
        <w:t>鑑於</w:t>
      </w:r>
      <w:r w:rsidR="00375299">
        <w:rPr>
          <w:rFonts w:ascii="標楷體" w:eastAsia="標楷體" w:hAnsi="標楷體" w:hint="eastAsia"/>
          <w:noProof/>
          <w:sz w:val="28"/>
          <w:szCs w:val="28"/>
        </w:rPr>
        <w:t>114</w:t>
      </w:r>
      <w:r w:rsidRPr="00A95263">
        <w:rPr>
          <w:rFonts w:ascii="標楷體" w:eastAsia="標楷體" w:hAnsi="標楷體" w:hint="eastAsia"/>
          <w:noProof/>
          <w:sz w:val="28"/>
          <w:szCs w:val="28"/>
        </w:rPr>
        <w:t>年颱風豪雨及農業部非洲豬瘟，造成農畜產品價格波動，加以美國關稅調整及中東地區政局動盪，恐導致民生物資價格異常，爰此，公平交易委員會應持續關注重要農畜產品與民生必需品產銷變化，倘發現疑似違法聯合行為或哄抬情形，應即主動啟動調查與</w:t>
      </w:r>
      <w:r w:rsidRPr="00A95263">
        <w:rPr>
          <w:rFonts w:ascii="標楷體" w:eastAsia="標楷體" w:hAnsi="標楷體" w:hint="eastAsia"/>
          <w:noProof/>
          <w:sz w:val="28"/>
          <w:szCs w:val="28"/>
        </w:rPr>
        <w:lastRenderedPageBreak/>
        <w:t>查處機制，以維持市場交易秩序、穩定物價並保障消費者權益。【</w:t>
      </w:r>
      <w:r w:rsidRPr="00A95263">
        <w:rPr>
          <w:rFonts w:ascii="標楷體" w:eastAsia="標楷體" w:hAnsi="標楷體"/>
          <w:noProof/>
          <w:sz w:val="28"/>
          <w:szCs w:val="28"/>
        </w:rPr>
        <w:t>50</w:t>
      </w:r>
      <w:r w:rsidRPr="00A95263">
        <w:rPr>
          <w:rFonts w:ascii="標楷體" w:eastAsia="標楷體" w:hAnsi="標楷體" w:hint="eastAsia"/>
          <w:noProof/>
          <w:sz w:val="28"/>
          <w:szCs w:val="28"/>
        </w:rPr>
        <w:t>】</w:t>
      </w:r>
    </w:p>
    <w:p w14:paraId="618E8E15"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提案人：蔡易餘</w:t>
      </w:r>
    </w:p>
    <w:p w14:paraId="34EDB41D"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連署人：邱志偉　邱議瑩</w:t>
      </w:r>
    </w:p>
    <w:p w14:paraId="1E239960" w14:textId="77777777" w:rsidR="00A95263" w:rsidRPr="00A95263" w:rsidRDefault="00A95263" w:rsidP="00A95263">
      <w:pPr>
        <w:pStyle w:val="a3"/>
        <w:numPr>
          <w:ilvl w:val="0"/>
          <w:numId w:val="8"/>
        </w:numPr>
        <w:snapToGrid w:val="0"/>
        <w:ind w:leftChars="178" w:left="1275" w:hangingChars="303" w:hanging="848"/>
        <w:jc w:val="both"/>
        <w:rPr>
          <w:rFonts w:ascii="標楷體" w:eastAsia="標楷體" w:hAnsi="標楷體"/>
          <w:noProof/>
          <w:sz w:val="28"/>
          <w:szCs w:val="28"/>
        </w:rPr>
      </w:pPr>
      <w:r w:rsidRPr="00A95263">
        <w:rPr>
          <w:rFonts w:ascii="標楷體" w:eastAsia="標楷體" w:hAnsi="標楷體" w:hint="eastAsia"/>
          <w:noProof/>
          <w:sz w:val="28"/>
          <w:szCs w:val="28"/>
        </w:rPr>
        <w:t>為因應物價波動影響民生消費，公平交易委員會負責查辦廠商不法囤積、聯合哄抬等行為，並配合設置「防制人為操縱物價專案小組」運作，對於重要農畜產品、民生必需品之市況變化及價格趨勢，進行異常漲價情形之監測，並主動立案調查，此外亦針對重要節慶，農畜產品及應節商品價格予以監測，主動調查是否涉有人為操縱或聯合行為。查公平會112至114年7月底完成針對盤商囤貨及哄抬價格等投機行為，或重要民生物資等價格波動異常或聯合壟斷立案調查之具體查核結果，共裁處金額計3億0</w:t>
      </w:r>
      <w:r w:rsidRPr="00A95263">
        <w:rPr>
          <w:rFonts w:ascii="標楷體" w:eastAsia="標楷體" w:hAnsi="標楷體"/>
          <w:noProof/>
          <w:sz w:val="28"/>
          <w:szCs w:val="28"/>
        </w:rPr>
        <w:t>,</w:t>
      </w:r>
      <w:r w:rsidRPr="00A95263">
        <w:rPr>
          <w:rFonts w:ascii="標楷體" w:eastAsia="標楷體" w:hAnsi="標楷體" w:hint="eastAsia"/>
          <w:noProof/>
          <w:sz w:val="28"/>
          <w:szCs w:val="28"/>
        </w:rPr>
        <w:t>550萬元。鑑於近年氣候變遷劇烈，天災動輒造成農產品價格波動，且受美國關稅及中東地區衝突影響，導致各類民生物資價格異常，公平交易委員會應加強關注重要農畜產品及民生必需品之產銷變化，針對疑似違法聯合行為更應積極進行查處，以穩定物價及維護消費者權益。【</w:t>
      </w:r>
      <w:r w:rsidRPr="00A95263">
        <w:rPr>
          <w:rFonts w:ascii="標楷體" w:eastAsia="標楷體" w:hAnsi="標楷體"/>
          <w:noProof/>
          <w:sz w:val="28"/>
          <w:szCs w:val="28"/>
        </w:rPr>
        <w:t>51</w:t>
      </w:r>
      <w:r w:rsidRPr="00A95263">
        <w:rPr>
          <w:rFonts w:ascii="標楷體" w:eastAsia="標楷體" w:hAnsi="標楷體" w:hint="eastAsia"/>
          <w:noProof/>
          <w:sz w:val="28"/>
          <w:szCs w:val="28"/>
        </w:rPr>
        <w:t>】</w:t>
      </w:r>
    </w:p>
    <w:p w14:paraId="56BFAD5F"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提案人：鄭天財　呂玉玲　楊瓊瓔</w:t>
      </w:r>
    </w:p>
    <w:p w14:paraId="126B09E1" w14:textId="77777777" w:rsidR="00A95263" w:rsidRPr="00A95263" w:rsidRDefault="00A95263" w:rsidP="00A95263">
      <w:pPr>
        <w:pStyle w:val="a3"/>
        <w:numPr>
          <w:ilvl w:val="0"/>
          <w:numId w:val="8"/>
        </w:numPr>
        <w:snapToGrid w:val="0"/>
        <w:ind w:leftChars="178" w:left="1275" w:hangingChars="303" w:hanging="848"/>
        <w:jc w:val="both"/>
        <w:rPr>
          <w:rFonts w:ascii="標楷體" w:eastAsia="標楷體" w:hAnsi="標楷體"/>
          <w:noProof/>
          <w:sz w:val="28"/>
          <w:szCs w:val="28"/>
        </w:rPr>
      </w:pPr>
      <w:r w:rsidRPr="00A95263">
        <w:rPr>
          <w:rFonts w:ascii="標楷體" w:eastAsia="標楷體" w:hAnsi="標楷體" w:hint="eastAsia"/>
          <w:noProof/>
          <w:sz w:val="28"/>
          <w:szCs w:val="28"/>
        </w:rPr>
        <w:t>公平交易委員會110至114年7月底，針對違規多層次傳銷事業案件進行處分，件數高達110件，顯示多層次傳銷業者違規情形仍有改善空間。而截至113年底，多層次傳銷事業營業總額高達1,055.06億元，傳銷商總人數達358.6萬人，雖公平會每年均辦理相關法令宣導，且保護機構財團法人多層次傳銷保護基金會亦就檢舉違反「多層次傳銷管理法」之案件發放獎金，惟近年多層次傳銷事業違規情形仍未明顯改善。公平交易委員會應通盤檢討法令宣導說明之成效，精進內容及方式並分析財團法人多層次傳銷保護基金會發放檢舉獎金之影響效益，適時滾動調整，以有效降低傳銷事業違規之發生。【</w:t>
      </w:r>
      <w:r w:rsidRPr="00A95263">
        <w:rPr>
          <w:rFonts w:ascii="標楷體" w:eastAsia="標楷體" w:hAnsi="標楷體"/>
          <w:noProof/>
          <w:sz w:val="28"/>
          <w:szCs w:val="28"/>
        </w:rPr>
        <w:t>52</w:t>
      </w:r>
      <w:r w:rsidRPr="00A95263">
        <w:rPr>
          <w:rFonts w:ascii="標楷體" w:eastAsia="標楷體" w:hAnsi="標楷體" w:hint="eastAsia"/>
          <w:noProof/>
          <w:sz w:val="28"/>
          <w:szCs w:val="28"/>
        </w:rPr>
        <w:t>】</w:t>
      </w:r>
    </w:p>
    <w:p w14:paraId="2F66B396"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提案人：鄭天財　呂玉玲　楊瓊瓔</w:t>
      </w:r>
    </w:p>
    <w:p w14:paraId="120459D6" w14:textId="77777777" w:rsidR="00A95263" w:rsidRPr="00A95263" w:rsidRDefault="00A95263" w:rsidP="00A95263">
      <w:pPr>
        <w:pStyle w:val="a3"/>
        <w:numPr>
          <w:ilvl w:val="0"/>
          <w:numId w:val="8"/>
        </w:numPr>
        <w:snapToGrid w:val="0"/>
        <w:ind w:leftChars="178" w:left="1275" w:hangingChars="303" w:hanging="848"/>
        <w:jc w:val="both"/>
        <w:rPr>
          <w:rFonts w:ascii="標楷體" w:eastAsia="標楷體" w:hAnsi="標楷體"/>
          <w:noProof/>
          <w:sz w:val="28"/>
          <w:szCs w:val="28"/>
        </w:rPr>
      </w:pPr>
      <w:r w:rsidRPr="00A95263">
        <w:rPr>
          <w:rFonts w:ascii="標楷體" w:eastAsia="標楷體" w:hAnsi="標楷體" w:hint="eastAsia"/>
          <w:noProof/>
          <w:sz w:val="28"/>
          <w:szCs w:val="28"/>
        </w:rPr>
        <w:t>隨網路科技蓬勃發展，民眾透過電子商務購物或利用網路媒體或社群媒體獲取購物資訊情形愈來愈普遍，為避免業者藉由網路進行不實廣告，公平交易委員會於112年2月間修訂「公平交易委員會對於網路廣告案件之處理原則」，並列示7項網路廣告違法行為態樣之案例。據公平會統計，112年2月至114年7月底止，網路廣告涉有虛偽不實或引人錯誤之表示或表徵之案件遭實際處分有168件，且多屬網路及購物平臺業者。鑑於實體零售業及電子購物業逐漸朝向虛實整合、線上線下相互導流方式拓展客群，並以經營網路社群為策略，惟網路廣告虛偽不實或引人錯誤之表示或表徵情形頻仍，且部分業者重複違法，顯示公平交易委員會對於相關處理原則宣導仍有加強空間，應檢討宣導成效，並特別</w:t>
      </w:r>
      <w:r w:rsidRPr="00A95263">
        <w:rPr>
          <w:rFonts w:ascii="標楷體" w:eastAsia="標楷體" w:hAnsi="標楷體" w:hint="eastAsia"/>
          <w:noProof/>
          <w:sz w:val="28"/>
          <w:szCs w:val="28"/>
        </w:rPr>
        <w:lastRenderedPageBreak/>
        <w:t>針對業者常發生之違法行為態樣加強宣導，提高業者及民眾認知，以利業者遵循，並保障消費者權益。【</w:t>
      </w:r>
      <w:r w:rsidRPr="00A95263">
        <w:rPr>
          <w:rFonts w:ascii="標楷體" w:eastAsia="標楷體" w:hAnsi="標楷體"/>
          <w:noProof/>
          <w:sz w:val="28"/>
          <w:szCs w:val="28"/>
        </w:rPr>
        <w:t>53</w:t>
      </w:r>
      <w:r w:rsidRPr="00A95263">
        <w:rPr>
          <w:rFonts w:ascii="標楷體" w:eastAsia="標楷體" w:hAnsi="標楷體" w:hint="eastAsia"/>
          <w:noProof/>
          <w:sz w:val="28"/>
          <w:szCs w:val="28"/>
        </w:rPr>
        <w:t>】</w:t>
      </w:r>
    </w:p>
    <w:p w14:paraId="4BF72023"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提案人：鄭天財　呂玉玲　楊瓊瓔</w:t>
      </w:r>
    </w:p>
    <w:p w14:paraId="6298BDCC" w14:textId="77777777" w:rsidR="00A95263" w:rsidRPr="00A95263" w:rsidRDefault="00A95263" w:rsidP="00A95263">
      <w:pPr>
        <w:pStyle w:val="a3"/>
        <w:numPr>
          <w:ilvl w:val="0"/>
          <w:numId w:val="8"/>
        </w:numPr>
        <w:snapToGrid w:val="0"/>
        <w:ind w:leftChars="178" w:left="1275" w:hangingChars="303" w:hanging="848"/>
        <w:jc w:val="both"/>
        <w:rPr>
          <w:rFonts w:ascii="標楷體" w:eastAsia="標楷體" w:hAnsi="標楷體"/>
          <w:noProof/>
          <w:sz w:val="28"/>
          <w:szCs w:val="28"/>
        </w:rPr>
      </w:pPr>
      <w:r w:rsidRPr="00A95263">
        <w:rPr>
          <w:rFonts w:ascii="標楷體" w:eastAsia="標楷體" w:hAnsi="標楷體" w:hint="eastAsia"/>
          <w:noProof/>
          <w:sz w:val="28"/>
          <w:szCs w:val="28"/>
        </w:rPr>
        <w:t>公平交易委員會110至114年7月底，處分不動產業者違反「公平交易法」之案件共59件，多數屬虛偽不實或引人錯誤廣告行為及欺罔或顯失公平行為，分別占近年違法行為件數比例之17.43%及16.42%，與各行業別相比較，不動產業者之違規件數占比，僅低於「批發及零售業」或「住宿及餐飲業」，屬前三大違規事業。鑑於不動產交易金額龐大，公平交易委員會應加強查處違法行為，確保消費者購屋權益。【</w:t>
      </w:r>
      <w:r w:rsidRPr="00A95263">
        <w:rPr>
          <w:rFonts w:ascii="標楷體" w:eastAsia="標楷體" w:hAnsi="標楷體"/>
          <w:noProof/>
          <w:sz w:val="28"/>
          <w:szCs w:val="28"/>
        </w:rPr>
        <w:t>54</w:t>
      </w:r>
      <w:r w:rsidRPr="00A95263">
        <w:rPr>
          <w:rFonts w:ascii="標楷體" w:eastAsia="標楷體" w:hAnsi="標楷體" w:hint="eastAsia"/>
          <w:noProof/>
          <w:sz w:val="28"/>
          <w:szCs w:val="28"/>
        </w:rPr>
        <w:t>】</w:t>
      </w:r>
    </w:p>
    <w:p w14:paraId="18B62835" w14:textId="77777777" w:rsidR="00A95263" w:rsidRPr="00A95263" w:rsidRDefault="00A95263" w:rsidP="00A95263">
      <w:pPr>
        <w:snapToGrid w:val="0"/>
        <w:ind w:leftChars="1500" w:left="4776" w:hangingChars="420" w:hanging="1176"/>
        <w:jc w:val="distribute"/>
        <w:rPr>
          <w:rFonts w:ascii="標楷體" w:eastAsia="標楷體" w:hAnsi="標楷體"/>
          <w:sz w:val="28"/>
          <w:szCs w:val="28"/>
        </w:rPr>
      </w:pPr>
      <w:r w:rsidRPr="00A95263">
        <w:rPr>
          <w:rFonts w:ascii="標楷體" w:eastAsia="標楷體" w:hAnsi="標楷體" w:hint="eastAsia"/>
          <w:sz w:val="28"/>
          <w:szCs w:val="28"/>
        </w:rPr>
        <w:t>提案人：鄭天財　洪毓祥　楊瓊瓔　呂玉玲</w:t>
      </w:r>
    </w:p>
    <w:p w14:paraId="1F313EB7" w14:textId="5585F780" w:rsidR="00A95263" w:rsidRPr="00A95263" w:rsidRDefault="00A95263" w:rsidP="00A95263">
      <w:pPr>
        <w:pStyle w:val="a3"/>
        <w:numPr>
          <w:ilvl w:val="0"/>
          <w:numId w:val="8"/>
        </w:numPr>
        <w:snapToGrid w:val="0"/>
        <w:ind w:leftChars="178" w:left="1275" w:hangingChars="303" w:hanging="848"/>
        <w:jc w:val="both"/>
        <w:rPr>
          <w:rFonts w:ascii="標楷體" w:eastAsia="標楷體" w:hAnsi="標楷體"/>
          <w:noProof/>
          <w:sz w:val="28"/>
          <w:szCs w:val="28"/>
        </w:rPr>
      </w:pPr>
      <w:r w:rsidRPr="00A95263">
        <w:rPr>
          <w:rFonts w:ascii="標楷體" w:eastAsia="標楷體" w:hAnsi="標楷體" w:cstheme="minorBidi" w:hint="eastAsia"/>
          <w:sz w:val="28"/>
          <w:szCs w:val="28"/>
        </w:rPr>
        <w:t>公平交易委員會已於115年3月受理Grab Inc.以6億美元收購</w:t>
      </w:r>
      <w:r w:rsidRPr="00A95263">
        <w:rPr>
          <w:rFonts w:ascii="標楷體" w:eastAsia="標楷體" w:hAnsi="標楷體" w:hint="eastAsia"/>
          <w:noProof/>
          <w:sz w:val="28"/>
          <w:szCs w:val="28"/>
        </w:rPr>
        <w:t>foodpanda台灣外送事業併購案，並要求補件，於Grab補齊資料後啟動審議。惟Uber持有該公司一般股股份達13.5%，為Grab最大機構持股人，且Grab董事會成員之一為Uber執行長Dara Khosrowshahi，由於公平會業於113年12月25日正式否決Uber Eats併購foodpanda台灣業務案，如今又有一個由Uber持股並參與公司決策的Grab公司啟動併購foodpanda台灣外送事業，不免讓人質疑是否又是一次為達成壟斷地位而為的交易，對市場競爭、商家、外送員與消費者權益的再次考驗。有鑑於歐盟在114年6月曾有類似的指標性案例，以查獲勞動市場聯合行為，裁罰foodpanda的母公司Delivery Hero與另一家歐洲外送平台Glovo事業共3.29億</w:t>
      </w:r>
      <w:r w:rsidR="00EE7F04">
        <w:rPr>
          <w:rFonts w:ascii="標楷體" w:eastAsia="標楷體" w:hAnsi="標楷體" w:hint="eastAsia"/>
          <w:noProof/>
          <w:sz w:val="28"/>
          <w:szCs w:val="28"/>
        </w:rPr>
        <w:t>元</w:t>
      </w:r>
      <w:r w:rsidRPr="00A95263">
        <w:rPr>
          <w:rFonts w:ascii="標楷體" w:eastAsia="標楷體" w:hAnsi="標楷體" w:hint="eastAsia"/>
          <w:noProof/>
          <w:sz w:val="28"/>
          <w:szCs w:val="28"/>
        </w:rPr>
        <w:t>，且115年4月Uber宣布投資2.7億歐元成為Delivery Hero持股7%的大股東，在本案恐變成「左手賣右手」之情形，對我國維持市場秩序公平性之執法挑戰。爰要求：1、公平交易委員會就本併購案之審議，務必以我國消費者、商家與外送員權益為優先考量，也應顧及我國本土發展中的電商及外送事業發展，以避免市場壟斷性事業之弊害。</w:t>
      </w:r>
      <w:r w:rsidR="002A50E1">
        <w:rPr>
          <w:rFonts w:ascii="標楷體" w:eastAsia="標楷體" w:hAnsi="標楷體" w:hint="eastAsia"/>
          <w:noProof/>
          <w:sz w:val="28"/>
          <w:szCs w:val="28"/>
        </w:rPr>
        <w:t>2、</w:t>
      </w:r>
      <w:r w:rsidR="002A50E1" w:rsidRPr="002A50E1">
        <w:rPr>
          <w:rFonts w:ascii="標楷體" w:eastAsia="標楷體" w:hAnsi="標楷體" w:hint="eastAsia"/>
          <w:noProof/>
          <w:sz w:val="28"/>
          <w:szCs w:val="28"/>
        </w:rPr>
        <w:t>Grab</w:t>
      </w:r>
      <w:r w:rsidR="00310614">
        <w:rPr>
          <w:rFonts w:ascii="標楷體" w:eastAsia="標楷體" w:hAnsi="標楷體" w:hint="eastAsia"/>
          <w:noProof/>
          <w:sz w:val="28"/>
          <w:szCs w:val="28"/>
        </w:rPr>
        <w:t>在東南亞國家提供第三方支付業務，且與華為、阿里巴巴等背景企業深度合作，恐成為我國金融監管、跨境金流、國土圖資及使用者個資的安全威脅，應有金融及國安等單位提供審查意見。</w:t>
      </w:r>
      <w:r w:rsidR="002A50E1">
        <w:rPr>
          <w:rFonts w:ascii="標楷體" w:eastAsia="標楷體" w:hAnsi="標楷體" w:hint="eastAsia"/>
          <w:noProof/>
          <w:sz w:val="28"/>
          <w:szCs w:val="28"/>
        </w:rPr>
        <w:t>3</w:t>
      </w:r>
      <w:r w:rsidRPr="00A95263">
        <w:rPr>
          <w:rFonts w:ascii="標楷體" w:eastAsia="標楷體" w:hAnsi="標楷體" w:hint="eastAsia"/>
          <w:noProof/>
          <w:sz w:val="28"/>
          <w:szCs w:val="28"/>
        </w:rPr>
        <w:t>、有鑑於部分併購案件之結果，如全聯併購大潤發等個案，公平交易委員會對已通過案件持續監督的能力備受外界質疑，也請公平交易委員會檢討現行制度下，對併購案之通過與否，以「附負擔行政處分」之形式為之的效力與問題，向立法院經濟委員會提出說明與檢討報告。【</w:t>
      </w:r>
      <w:r w:rsidRPr="00A95263">
        <w:rPr>
          <w:rFonts w:ascii="標楷體" w:eastAsia="標楷體" w:hAnsi="標楷體"/>
          <w:noProof/>
          <w:sz w:val="28"/>
          <w:szCs w:val="28"/>
        </w:rPr>
        <w:t>55</w:t>
      </w:r>
      <w:r w:rsidRPr="00A95263">
        <w:rPr>
          <w:rFonts w:ascii="標楷體" w:eastAsia="標楷體" w:hAnsi="標楷體" w:hint="eastAsia"/>
          <w:noProof/>
          <w:sz w:val="28"/>
          <w:szCs w:val="28"/>
        </w:rPr>
        <w:t>】</w:t>
      </w:r>
    </w:p>
    <w:p w14:paraId="3F3FB491"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提案人：賴瑞隆</w:t>
      </w:r>
    </w:p>
    <w:p w14:paraId="09FF0076"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連署人：邱議瑩　鍾佳濱</w:t>
      </w:r>
    </w:p>
    <w:p w14:paraId="16C163EB" w14:textId="0191626D" w:rsidR="00A95263" w:rsidRPr="00A95263" w:rsidRDefault="00A95263" w:rsidP="00A95263">
      <w:pPr>
        <w:pStyle w:val="a3"/>
        <w:numPr>
          <w:ilvl w:val="0"/>
          <w:numId w:val="8"/>
        </w:numPr>
        <w:snapToGrid w:val="0"/>
        <w:ind w:leftChars="178" w:left="1275" w:hangingChars="303" w:hanging="848"/>
        <w:jc w:val="both"/>
        <w:rPr>
          <w:rFonts w:ascii="標楷體" w:eastAsia="標楷體" w:hAnsi="標楷體"/>
          <w:noProof/>
          <w:sz w:val="28"/>
          <w:szCs w:val="28"/>
        </w:rPr>
      </w:pPr>
      <w:r w:rsidRPr="00A95263">
        <w:rPr>
          <w:rFonts w:ascii="標楷體" w:eastAsia="標楷體" w:hAnsi="標楷體" w:hint="eastAsia"/>
          <w:noProof/>
          <w:sz w:val="28"/>
          <w:szCs w:val="28"/>
        </w:rPr>
        <w:t>對於遊戲主機消費者而言，通常購買了主機之後，其購買遊戲（此</w:t>
      </w:r>
      <w:r w:rsidRPr="00A95263">
        <w:rPr>
          <w:rFonts w:ascii="標楷體" w:eastAsia="標楷體" w:hAnsi="標楷體" w:hint="eastAsia"/>
          <w:noProof/>
          <w:sz w:val="28"/>
          <w:szCs w:val="28"/>
        </w:rPr>
        <w:lastRenderedPageBreak/>
        <w:t>指數位版）就只能在該主機所屬的網路商城，例如PlayStation Store或Nintendo eshop上購買，而這些平台也會向發行商收取上架費用營利。然而在AI技術興起之後，大量AI生成，仿冒、粗濫、甚至竊盜其他遊戲開發商IP的垃圾遊戲（Shovelware）出現，發行商意圖詐騙消費者購買遊戲，或透過遊戲內暗藏後門取得個資獲利。在某些平台如Steam，因為其「發行商保證金」的機制，相當程度上防止垃圾遊戲、詐騙工具的發布。但在某些平台如Nintendo eshop，則充斥著仿冒、垃圾及AI生成內容的假遊戲，常以低價優惠、雷同的遊戲圖示誘騙購買，知名案例包括模仿「Unpacking」的假貨及「The Last Hope: Dead Zone Survival」等劣質作品。由於這些商城在平台上具有壟斷性地位、透過抽取消費金額的一定成數營利，消費者只能透過他們購買商品，但平台卻放任假、詐商品在平台上販售，還與發行者分潤獲利，爰要求公平交易委員會，應就這些數位遊戲電商平台，是否濫用其獨</w:t>
      </w:r>
      <w:r w:rsidR="001B7D03">
        <w:rPr>
          <w:rFonts w:ascii="標楷體" w:eastAsia="標楷體" w:hAnsi="標楷體" w:hint="eastAsia"/>
          <w:noProof/>
          <w:sz w:val="28"/>
          <w:szCs w:val="28"/>
        </w:rPr>
        <w:t>占</w:t>
      </w:r>
      <w:r w:rsidRPr="00A95263">
        <w:rPr>
          <w:rFonts w:ascii="標楷體" w:eastAsia="標楷體" w:hAnsi="標楷體" w:hint="eastAsia"/>
          <w:noProof/>
          <w:sz w:val="28"/>
          <w:szCs w:val="28"/>
        </w:rPr>
        <w:t>地位，放任偽劣商品上架，誘騙購買以獲取不正利益啟動調查，並向立法院經濟委員會提出書面報告，書面報告內容須包括：1、針對數位遊戲平台之市場結構及競爭狀況，評估其是否具市場支配地位或競爭限制效果。2、檢視平台是否存在放任仿冒、誤導性或低品質商品上架之不公平競爭行為。3、研議數位平台對消費者之資訊揭露義務與審查責任機制。4、就AI生成內容對數位市場競爭秩序之影響，提出政策建議與監理方向。【</w:t>
      </w:r>
      <w:r w:rsidRPr="00A95263">
        <w:rPr>
          <w:rFonts w:ascii="標楷體" w:eastAsia="標楷體" w:hAnsi="標楷體"/>
          <w:noProof/>
          <w:sz w:val="28"/>
          <w:szCs w:val="28"/>
        </w:rPr>
        <w:t>56</w:t>
      </w:r>
      <w:r w:rsidRPr="00A95263">
        <w:rPr>
          <w:rFonts w:ascii="標楷體" w:eastAsia="標楷體" w:hAnsi="標楷體" w:hint="eastAsia"/>
          <w:noProof/>
          <w:sz w:val="28"/>
          <w:szCs w:val="28"/>
        </w:rPr>
        <w:t>】</w:t>
      </w:r>
    </w:p>
    <w:p w14:paraId="1422F8EE"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提案人：賴瑞隆</w:t>
      </w:r>
    </w:p>
    <w:p w14:paraId="1CB46BAD"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連署人：鍾佳濱　邱議瑩</w:t>
      </w:r>
    </w:p>
    <w:p w14:paraId="50937B94" w14:textId="3C0F2C75" w:rsidR="00A95263" w:rsidRPr="00A95263" w:rsidRDefault="00A95263" w:rsidP="00A95263">
      <w:pPr>
        <w:pStyle w:val="a3"/>
        <w:numPr>
          <w:ilvl w:val="0"/>
          <w:numId w:val="8"/>
        </w:numPr>
        <w:snapToGrid w:val="0"/>
        <w:ind w:leftChars="178" w:left="1275" w:hangingChars="303" w:hanging="848"/>
        <w:jc w:val="both"/>
        <w:rPr>
          <w:rFonts w:ascii="標楷體" w:eastAsia="標楷體" w:hAnsi="標楷體"/>
          <w:noProof/>
          <w:sz w:val="28"/>
          <w:szCs w:val="28"/>
        </w:rPr>
      </w:pPr>
      <w:r w:rsidRPr="00A95263">
        <w:rPr>
          <w:rFonts w:ascii="標楷體" w:eastAsia="標楷體" w:hAnsi="標楷體" w:hint="eastAsia"/>
          <w:noProof/>
          <w:sz w:val="28"/>
          <w:szCs w:val="28"/>
        </w:rPr>
        <w:t>訂閱制（Subscription Model）經濟在過去十年間爆發性成長。截至112年，全球訂閱與會員制市場規模已突破6,500億美元，訂閱經濟的營收成長率高達435%，遠超標普500指數企業的平均增速，顯示該模式已從單次銷售成功轉型為穩定、持續的長期高增長商業模型。然而，訂閱制是企業穩定獲利的利器，卻削弱消費者的所有權。用戶每月付出的月費看似低廉，長期成本反更高，且退訂流程繁複，形成隱性剝削外，更可能淪為數位時代「暗黑營銷模式」的受害者，如Adobe公司濫用其市場優勢地位，惡意阻擋使用者轉換使用其競爭對手產品，並對提早退訂的用戶收取契約全期間合約費用，遭美國政府起訴，最後Adobe公司以共1.5億美元的條件達成和解。又美國聯邦交易委員會（FTC）於113年10月16日公布「點擊取消」（click-to-cancel）的正式規定，要求事業必須讓消費者取消訂閱跟購買訂閱時一樣容易，用以解決以下爭議：銷售者未如實告知退訂的必要資訊、消費者被迫支付他們未同意的帳單、銷售者故意讓取消訂閱變得困難或甚至不可能。有鑑於世界各國紛紛就訂閱制形成的「暗黑營銷模式」問</w:t>
      </w:r>
      <w:r w:rsidRPr="00A95263">
        <w:rPr>
          <w:rFonts w:ascii="標楷體" w:eastAsia="標楷體" w:hAnsi="標楷體" w:hint="eastAsia"/>
          <w:noProof/>
          <w:sz w:val="28"/>
          <w:szCs w:val="28"/>
        </w:rPr>
        <w:lastRenderedPageBreak/>
        <w:t>題提出對策，公平交易委員會更應明白宣示政策立場，以維持市場秩序、保護消費者權益。爰要求：1、公平交易委員會就業者提供訂閱制服務卻以各種方式阻礙消費者退出，未經消費者知情同意之自動續訂或以不合理方式徵收額外費用等涉及「公平交易法」第21或25條之情形加以盤點，向立法院經濟委員會提出書面報告</w:t>
      </w:r>
      <w:r w:rsidR="001B7D03">
        <w:rPr>
          <w:rFonts w:ascii="標楷體" w:eastAsia="標楷體" w:hAnsi="標楷體" w:hint="eastAsia"/>
          <w:noProof/>
          <w:sz w:val="28"/>
          <w:szCs w:val="28"/>
        </w:rPr>
        <w:t>。</w:t>
      </w:r>
      <w:r w:rsidRPr="00A95263">
        <w:rPr>
          <w:rFonts w:ascii="標楷體" w:eastAsia="標楷體" w:hAnsi="標楷體" w:hint="eastAsia"/>
          <w:noProof/>
          <w:sz w:val="28"/>
          <w:szCs w:val="28"/>
        </w:rPr>
        <w:t>2、並就指標性事業如Adobe、Uber Eats、PlayStation Plus等網路服務平台如有透過糾纏、隱匿費用等形式</w:t>
      </w:r>
      <w:proofErr w:type="gramStart"/>
      <w:r w:rsidRPr="00A95263">
        <w:rPr>
          <w:rFonts w:ascii="標楷體" w:eastAsia="標楷體" w:hAnsi="標楷體" w:hint="eastAsia"/>
          <w:noProof/>
          <w:sz w:val="28"/>
          <w:szCs w:val="28"/>
        </w:rPr>
        <w:t>阻擾退訂</w:t>
      </w:r>
      <w:r w:rsidRPr="00A95263">
        <w:rPr>
          <w:rFonts w:ascii="標楷體" w:eastAsia="標楷體" w:hAnsi="標楷體" w:hint="eastAsia"/>
          <w:sz w:val="28"/>
          <w:szCs w:val="28"/>
        </w:rPr>
        <w:t>涉及</w:t>
      </w:r>
      <w:proofErr w:type="gramEnd"/>
      <w:r w:rsidRPr="00A95263">
        <w:rPr>
          <w:rFonts w:ascii="標楷體" w:eastAsia="標楷體" w:hAnsi="標楷體" w:hint="eastAsia"/>
          <w:sz w:val="28"/>
          <w:szCs w:val="28"/>
        </w:rPr>
        <w:t>「公平交易法</w:t>
      </w:r>
      <w:r w:rsidRPr="00A95263">
        <w:rPr>
          <w:rFonts w:ascii="標楷體" w:eastAsia="標楷體" w:hAnsi="標楷體" w:hint="eastAsia"/>
          <w:noProof/>
          <w:sz w:val="28"/>
          <w:szCs w:val="28"/>
        </w:rPr>
        <w:t>」</w:t>
      </w:r>
      <w:r w:rsidRPr="00A95263">
        <w:rPr>
          <w:rFonts w:ascii="標楷體" w:eastAsia="標楷體" w:hAnsi="標楷體" w:hint="eastAsia"/>
          <w:sz w:val="28"/>
          <w:szCs w:val="28"/>
        </w:rPr>
        <w:t>應</w:t>
      </w:r>
      <w:r w:rsidRPr="00A95263">
        <w:rPr>
          <w:rFonts w:ascii="標楷體" w:eastAsia="標楷體" w:hAnsi="標楷體" w:hint="eastAsia"/>
          <w:noProof/>
          <w:sz w:val="28"/>
          <w:szCs w:val="28"/>
        </w:rPr>
        <w:t>啟動調查。【</w:t>
      </w:r>
      <w:r w:rsidRPr="00A95263">
        <w:rPr>
          <w:rFonts w:ascii="標楷體" w:eastAsia="標楷體" w:hAnsi="標楷體"/>
          <w:noProof/>
          <w:sz w:val="28"/>
          <w:szCs w:val="28"/>
        </w:rPr>
        <w:t>57</w:t>
      </w:r>
      <w:r w:rsidRPr="00A95263">
        <w:rPr>
          <w:rFonts w:ascii="標楷體" w:eastAsia="標楷體" w:hAnsi="標楷體" w:hint="eastAsia"/>
          <w:noProof/>
          <w:sz w:val="28"/>
          <w:szCs w:val="28"/>
        </w:rPr>
        <w:t>】</w:t>
      </w:r>
    </w:p>
    <w:p w14:paraId="44F8AB4A"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提案人：賴瑞隆</w:t>
      </w:r>
    </w:p>
    <w:p w14:paraId="12D01D83"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連署人：鍾佳濱　邱議瑩</w:t>
      </w:r>
    </w:p>
    <w:p w14:paraId="5508E615" w14:textId="77777777" w:rsidR="00A95263" w:rsidRPr="00A95263" w:rsidRDefault="00A95263" w:rsidP="00A95263">
      <w:pPr>
        <w:pStyle w:val="a3"/>
        <w:numPr>
          <w:ilvl w:val="0"/>
          <w:numId w:val="8"/>
        </w:numPr>
        <w:snapToGrid w:val="0"/>
        <w:ind w:leftChars="178" w:left="1275" w:hangingChars="303" w:hanging="848"/>
        <w:jc w:val="both"/>
        <w:rPr>
          <w:rFonts w:ascii="標楷體" w:eastAsia="標楷體" w:hAnsi="標楷體"/>
          <w:noProof/>
          <w:sz w:val="28"/>
          <w:szCs w:val="28"/>
        </w:rPr>
      </w:pPr>
      <w:r w:rsidRPr="00A95263">
        <w:rPr>
          <w:rFonts w:ascii="標楷體" w:eastAsia="標楷體" w:hAnsi="標楷體" w:hint="eastAsia"/>
          <w:noProof/>
          <w:sz w:val="28"/>
          <w:szCs w:val="28"/>
        </w:rPr>
        <w:t>有鑑於市面上有許多3C產品及周邊業者，宣稱其「商品通過軍規認證」，然而「軍規」於我國官方商品標準中並未有此一類型，其內涵主要係指通過符合美國國防部「MIL-STD-810」系列的測試標準，而有業者將其產品交給第三方驗證機構依照上開標準進行檢驗通過，以作為取得消費者信賴與青睞之商品宣傳。然而日前也有網紅實際就市面上宣稱具有「軍規認證」的3C保護商品（主要為手機的「保護殼」），以工業設備進行精確實地驗證，結果反而是多數宣稱軍規等級保護的商品無法達到其宣稱的防護效果，甚至直指「市面上買到的軍規手機基本上沒有測試」。上開內容若屬實，生產販售那些商品的業者實已違反「公平交易法」第21條，以不實廣告影響消費者決定，進而影響市場交易秩序。爰要求公平交易委員會應就此類宣稱「軍規防護」商品立案調查，確認其是否具有其宣稱之防護能力，並向立法院經濟委員會提出書面報告。【</w:t>
      </w:r>
      <w:r w:rsidRPr="00A95263">
        <w:rPr>
          <w:rFonts w:ascii="標楷體" w:eastAsia="標楷體" w:hAnsi="標楷體"/>
          <w:noProof/>
          <w:sz w:val="28"/>
          <w:szCs w:val="28"/>
        </w:rPr>
        <w:t>58</w:t>
      </w:r>
      <w:r w:rsidRPr="00A95263">
        <w:rPr>
          <w:rFonts w:ascii="標楷體" w:eastAsia="標楷體" w:hAnsi="標楷體" w:hint="eastAsia"/>
          <w:noProof/>
          <w:sz w:val="28"/>
          <w:szCs w:val="28"/>
        </w:rPr>
        <w:t>】</w:t>
      </w:r>
    </w:p>
    <w:p w14:paraId="516F9602"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提案人：賴瑞隆</w:t>
      </w:r>
    </w:p>
    <w:p w14:paraId="40DAB786"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連署人：鍾佳濱　邱議瑩</w:t>
      </w:r>
    </w:p>
    <w:p w14:paraId="21BF5FA1" w14:textId="3BEB0542" w:rsidR="00A95263" w:rsidRPr="00A95263" w:rsidRDefault="00A95263" w:rsidP="003E5BCB">
      <w:pPr>
        <w:pStyle w:val="a3"/>
        <w:numPr>
          <w:ilvl w:val="0"/>
          <w:numId w:val="8"/>
        </w:numPr>
        <w:snapToGrid w:val="0"/>
        <w:ind w:leftChars="178" w:left="1275" w:hangingChars="303" w:hanging="848"/>
        <w:jc w:val="both"/>
        <w:rPr>
          <w:rFonts w:ascii="標楷體" w:eastAsia="標楷體" w:hAnsi="標楷體"/>
          <w:noProof/>
          <w:sz w:val="28"/>
          <w:szCs w:val="28"/>
        </w:rPr>
      </w:pPr>
      <w:r w:rsidRPr="00A95263">
        <w:rPr>
          <w:rFonts w:ascii="標楷體" w:eastAsia="標楷體" w:hAnsi="標楷體" w:hint="eastAsia"/>
          <w:noProof/>
          <w:sz w:val="28"/>
          <w:szCs w:val="28"/>
        </w:rPr>
        <w:t>有關蘋果公司（APPLE.Inc）於其應用程式商店（Apple Store）上架之應用，在其應用程式內部消費中，收取一定比例費用，被外界稱其為「蘋果稅」之行為。歐盟於1</w:t>
      </w:r>
      <w:r w:rsidRPr="00A95263">
        <w:rPr>
          <w:rFonts w:ascii="標楷體" w:eastAsia="標楷體" w:hAnsi="標楷體"/>
          <w:noProof/>
          <w:sz w:val="28"/>
          <w:szCs w:val="28"/>
        </w:rPr>
        <w:t>14</w:t>
      </w:r>
      <w:r w:rsidRPr="00A95263">
        <w:rPr>
          <w:rFonts w:ascii="標楷體" w:eastAsia="標楷體" w:hAnsi="標楷體" w:hint="eastAsia"/>
          <w:noProof/>
          <w:sz w:val="28"/>
          <w:szCs w:val="28"/>
        </w:rPr>
        <w:t>年4月認定蘋果阻止開發者引導用戶到App Store以外進行更優惠的購買，以違反「數位市場法」對蘋果處以5億歐元的罰款。1</w:t>
      </w:r>
      <w:r w:rsidRPr="00A95263">
        <w:rPr>
          <w:rFonts w:ascii="標楷體" w:eastAsia="標楷體" w:hAnsi="標楷體"/>
          <w:noProof/>
          <w:sz w:val="28"/>
          <w:szCs w:val="28"/>
        </w:rPr>
        <w:t>14</w:t>
      </w:r>
      <w:r w:rsidRPr="00A95263">
        <w:rPr>
          <w:rFonts w:ascii="標楷體" w:eastAsia="標楷體" w:hAnsi="標楷體" w:hint="eastAsia"/>
          <w:noProof/>
          <w:sz w:val="28"/>
          <w:szCs w:val="28"/>
        </w:rPr>
        <w:t>年6月，美國法院也駁回蘋果公司上訴，判決蘋果將不得再向開發者收取用戶透過應用程式中的外部連結進行付款所產生的手續費。日本政府則以法規修正方式，強制蘋果公司大幅降低應用程式內第三方支付的佣金，以及對透過第三方應用商店或側載類App購買，僅收取5%的核心技術費。然而，我國公平交易委員會對於該案，自</w:t>
      </w:r>
      <w:r w:rsidRPr="00A95263">
        <w:rPr>
          <w:rFonts w:ascii="標楷體" w:eastAsia="標楷體" w:hAnsi="標楷體"/>
          <w:noProof/>
          <w:sz w:val="28"/>
          <w:szCs w:val="28"/>
        </w:rPr>
        <w:t>110</w:t>
      </w:r>
      <w:r w:rsidRPr="00A95263">
        <w:rPr>
          <w:rFonts w:ascii="標楷體" w:eastAsia="標楷體" w:hAnsi="標楷體" w:hint="eastAsia"/>
          <w:noProof/>
          <w:sz w:val="28"/>
          <w:szCs w:val="28"/>
        </w:rPr>
        <w:t>年11月公開表示已立案調查後，迄今已逾40個月，直到日前公平會仍對外宣稱「調查快要完成了」，惟經調閱資料後發現，公平會自</w:t>
      </w:r>
      <w:r w:rsidRPr="00A95263">
        <w:rPr>
          <w:rFonts w:ascii="標楷體" w:eastAsia="標楷體" w:hAnsi="標楷體"/>
          <w:noProof/>
          <w:sz w:val="28"/>
          <w:szCs w:val="28"/>
        </w:rPr>
        <w:t>114</w:t>
      </w:r>
      <w:r w:rsidRPr="00A95263">
        <w:rPr>
          <w:rFonts w:ascii="標楷體" w:eastAsia="標楷體" w:hAnsi="標楷體" w:hint="eastAsia"/>
          <w:noProof/>
          <w:sz w:val="28"/>
          <w:szCs w:val="28"/>
        </w:rPr>
        <w:t>年11月，賴委員瑞隆再次質詢並強調本案業已調查數</w:t>
      </w:r>
      <w:r w:rsidRPr="00A95263">
        <w:rPr>
          <w:rFonts w:ascii="標楷體" w:eastAsia="標楷體" w:hAnsi="標楷體" w:hint="eastAsia"/>
          <w:noProof/>
          <w:sz w:val="28"/>
          <w:szCs w:val="28"/>
        </w:rPr>
        <w:lastRenderedPageBreak/>
        <w:t>年後，才於委員會議的議程中排入本案，足見公平交易委員會態度之消極與行政怠惰，需加強監督，爰要求公平交易委員會就有關網路數位商品交易平台（如Apple Store、Google Play、Steam等）在消費者購買數位商品或於應用程式內交易收取一定成數費用之行為是否有違法之調查及討論進度，向立法院經濟委員會提</w:t>
      </w:r>
      <w:r w:rsidR="009F5527">
        <w:rPr>
          <w:rFonts w:ascii="標楷體" w:eastAsia="標楷體" w:hAnsi="標楷體" w:hint="eastAsia"/>
          <w:noProof/>
          <w:sz w:val="28"/>
          <w:szCs w:val="28"/>
        </w:rPr>
        <w:t>出</w:t>
      </w:r>
      <w:r w:rsidRPr="00A95263">
        <w:rPr>
          <w:rFonts w:ascii="標楷體" w:eastAsia="標楷體" w:hAnsi="標楷體" w:hint="eastAsia"/>
          <w:noProof/>
          <w:sz w:val="28"/>
          <w:szCs w:val="28"/>
        </w:rPr>
        <w:t>書面報告。【</w:t>
      </w:r>
      <w:r w:rsidRPr="00A95263">
        <w:rPr>
          <w:rFonts w:ascii="標楷體" w:eastAsia="標楷體" w:hAnsi="標楷體"/>
          <w:noProof/>
          <w:sz w:val="28"/>
          <w:szCs w:val="28"/>
        </w:rPr>
        <w:t>59</w:t>
      </w:r>
      <w:r w:rsidRPr="00A95263">
        <w:rPr>
          <w:rFonts w:ascii="標楷體" w:eastAsia="標楷體" w:hAnsi="標楷體" w:hint="eastAsia"/>
          <w:noProof/>
          <w:sz w:val="28"/>
          <w:szCs w:val="28"/>
        </w:rPr>
        <w:t>】</w:t>
      </w:r>
    </w:p>
    <w:p w14:paraId="45C4760F"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提案人：賴瑞隆</w:t>
      </w:r>
    </w:p>
    <w:p w14:paraId="1CF1FDBC"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連署人：鍾佳濱　邱議瑩</w:t>
      </w:r>
    </w:p>
    <w:p w14:paraId="0A9FD870" w14:textId="77777777" w:rsidR="00A95263" w:rsidRPr="00A95263" w:rsidRDefault="00A95263" w:rsidP="001B7D03">
      <w:pPr>
        <w:pStyle w:val="a3"/>
        <w:numPr>
          <w:ilvl w:val="0"/>
          <w:numId w:val="8"/>
        </w:numPr>
        <w:snapToGrid w:val="0"/>
        <w:ind w:leftChars="178" w:left="1275" w:hangingChars="303" w:hanging="848"/>
        <w:jc w:val="both"/>
        <w:rPr>
          <w:rFonts w:ascii="標楷體" w:eastAsia="標楷體" w:hAnsi="標楷體"/>
          <w:noProof/>
          <w:sz w:val="28"/>
          <w:szCs w:val="28"/>
        </w:rPr>
      </w:pPr>
      <w:r w:rsidRPr="00A95263">
        <w:rPr>
          <w:rFonts w:ascii="標楷體" w:eastAsia="標楷體" w:hAnsi="標楷體" w:hint="eastAsia"/>
          <w:noProof/>
          <w:sz w:val="28"/>
          <w:szCs w:val="28"/>
        </w:rPr>
        <w:t>Grab併購foodpanda案，對外送員、餐飲店家、消費者等權益影響巨大，爰要求公平交易委員會應窮盡行政程序，確實對外送員、店家、消費者等利害關係人，進行意見聽取及調查，以符公開公正之原則；並要求公平交易委員會委員審議該併購案時，應優先考量外送員、店家、消費者等可能損失的權益。【</w:t>
      </w:r>
      <w:r w:rsidRPr="00A95263">
        <w:rPr>
          <w:rFonts w:ascii="標楷體" w:eastAsia="標楷體" w:hAnsi="標楷體"/>
          <w:noProof/>
          <w:sz w:val="28"/>
          <w:szCs w:val="28"/>
        </w:rPr>
        <w:t>60</w:t>
      </w:r>
      <w:r w:rsidRPr="00A95263">
        <w:rPr>
          <w:rFonts w:ascii="標楷體" w:eastAsia="標楷體" w:hAnsi="標楷體" w:hint="eastAsia"/>
          <w:noProof/>
          <w:sz w:val="28"/>
          <w:szCs w:val="28"/>
        </w:rPr>
        <w:t>】</w:t>
      </w:r>
    </w:p>
    <w:p w14:paraId="313EEA93"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提案人：謝衣鳯　鄭天財　鄭正鈐</w:t>
      </w:r>
    </w:p>
    <w:p w14:paraId="55B9D17B" w14:textId="77777777" w:rsidR="00A95263" w:rsidRPr="00A95263" w:rsidRDefault="00A95263" w:rsidP="00A95263">
      <w:pPr>
        <w:pStyle w:val="a3"/>
        <w:numPr>
          <w:ilvl w:val="0"/>
          <w:numId w:val="8"/>
        </w:numPr>
        <w:snapToGrid w:val="0"/>
        <w:ind w:leftChars="178" w:left="1558" w:hangingChars="404" w:hanging="1131"/>
        <w:jc w:val="both"/>
        <w:rPr>
          <w:rFonts w:ascii="標楷體" w:eastAsia="標楷體" w:hAnsi="標楷體"/>
          <w:noProof/>
          <w:sz w:val="28"/>
          <w:szCs w:val="28"/>
        </w:rPr>
      </w:pPr>
      <w:r w:rsidRPr="00A95263">
        <w:rPr>
          <w:rFonts w:ascii="標楷體" w:eastAsia="標楷體" w:hAnsi="標楷體" w:hint="eastAsia"/>
          <w:noProof/>
          <w:sz w:val="28"/>
          <w:szCs w:val="28"/>
        </w:rPr>
        <w:t>115年度公平交易委員會預算於歲出第2目「公平交易業務」編列2,231萬3千元，由於虛偽不實或引人錯誤廣告行為一再引發消費糾紛，公平交易委員會雖已正視問題並訂定相關規範，惟依該會定期公布之案件辦理情形統計數據中，發現114年不實廣告行為處分案件共105件，均高於以往各年度案件數，且110年以後趨勢明顯增加，顯示相關法令、處置與宣導等作為未能隨科技進步、消費習慣與銷售途徑的演變與時俱進，爰此，針對歲出第2目「公平交易業務」2</w:t>
      </w:r>
      <w:r w:rsidRPr="00A95263">
        <w:rPr>
          <w:rFonts w:ascii="標楷體" w:eastAsia="標楷體" w:hAnsi="標楷體"/>
          <w:noProof/>
          <w:sz w:val="28"/>
          <w:szCs w:val="28"/>
        </w:rPr>
        <w:t>,</w:t>
      </w:r>
      <w:r w:rsidRPr="00A95263">
        <w:rPr>
          <w:rFonts w:ascii="標楷體" w:eastAsia="標楷體" w:hAnsi="標楷體" w:hint="eastAsia"/>
          <w:noProof/>
          <w:sz w:val="28"/>
          <w:szCs w:val="28"/>
        </w:rPr>
        <w:t>231萬3千元，請公平交易委員會向立法院經濟委員會提出書面報告。【</w:t>
      </w:r>
      <w:r w:rsidRPr="00A95263">
        <w:rPr>
          <w:rFonts w:ascii="標楷體" w:eastAsia="標楷體" w:hAnsi="標楷體"/>
          <w:noProof/>
          <w:sz w:val="28"/>
          <w:szCs w:val="28"/>
        </w:rPr>
        <w:t>1</w:t>
      </w:r>
      <w:r w:rsidRPr="00A95263">
        <w:rPr>
          <w:rFonts w:ascii="標楷體" w:eastAsia="標楷體" w:hAnsi="標楷體" w:hint="eastAsia"/>
          <w:noProof/>
          <w:sz w:val="28"/>
          <w:szCs w:val="28"/>
        </w:rPr>
        <w:t>】</w:t>
      </w:r>
    </w:p>
    <w:p w14:paraId="54A651D8" w14:textId="77777777" w:rsidR="00A95263" w:rsidRPr="00A95263" w:rsidRDefault="00A95263" w:rsidP="00A95263">
      <w:pPr>
        <w:snapToGrid w:val="0"/>
        <w:ind w:leftChars="1500" w:left="4776" w:hangingChars="420" w:hanging="1176"/>
        <w:jc w:val="distribute"/>
        <w:rPr>
          <w:rFonts w:ascii="標楷體" w:eastAsia="標楷體" w:hAnsi="標楷體"/>
          <w:sz w:val="28"/>
          <w:szCs w:val="28"/>
        </w:rPr>
      </w:pPr>
      <w:r w:rsidRPr="00A95263">
        <w:rPr>
          <w:rFonts w:ascii="標楷體" w:eastAsia="標楷體" w:hAnsi="標楷體" w:hint="eastAsia"/>
          <w:sz w:val="28"/>
          <w:szCs w:val="28"/>
        </w:rPr>
        <w:t>提案人：張嘉郡　楊瓊瓔　呂玉玲　鄭正鈐</w:t>
      </w:r>
    </w:p>
    <w:p w14:paraId="0B9EB678" w14:textId="521D151B" w:rsidR="00A95263" w:rsidRPr="00A95263" w:rsidRDefault="00A95263" w:rsidP="00A95263">
      <w:pPr>
        <w:pStyle w:val="a3"/>
        <w:numPr>
          <w:ilvl w:val="0"/>
          <w:numId w:val="8"/>
        </w:numPr>
        <w:snapToGrid w:val="0"/>
        <w:ind w:leftChars="178" w:left="1558" w:hangingChars="404" w:hanging="1131"/>
        <w:jc w:val="both"/>
        <w:rPr>
          <w:rFonts w:ascii="標楷體" w:eastAsia="標楷體" w:hAnsi="標楷體"/>
          <w:sz w:val="28"/>
          <w:szCs w:val="28"/>
        </w:rPr>
      </w:pPr>
      <w:r w:rsidRPr="00A95263">
        <w:rPr>
          <w:rFonts w:ascii="標楷體" w:eastAsia="標楷體" w:hAnsi="標楷體" w:hint="eastAsia"/>
          <w:noProof/>
          <w:sz w:val="28"/>
          <w:szCs w:val="28"/>
        </w:rPr>
        <w:t>Grab併購foodpanda案，涉及跨國外送平臺間的整合，尤其公平交易委員會才在114年禁止U</w:t>
      </w:r>
      <w:r w:rsidRPr="00A95263">
        <w:rPr>
          <w:rFonts w:ascii="標楷體" w:eastAsia="標楷體" w:hAnsi="標楷體"/>
          <w:noProof/>
          <w:sz w:val="28"/>
          <w:szCs w:val="28"/>
        </w:rPr>
        <w:t>ber</w:t>
      </w:r>
      <w:r w:rsidRPr="00A95263">
        <w:rPr>
          <w:rFonts w:ascii="標楷體" w:eastAsia="標楷體" w:hAnsi="標楷體" w:hint="eastAsia"/>
          <w:noProof/>
          <w:sz w:val="28"/>
          <w:szCs w:val="28"/>
        </w:rPr>
        <w:t>與foodpanda結合，而Grab最大股東就是Uber，引發外界質疑Ub</w:t>
      </w:r>
      <w:r w:rsidRPr="00A95263">
        <w:rPr>
          <w:rFonts w:ascii="標楷體" w:eastAsia="標楷體" w:hAnsi="標楷體"/>
          <w:noProof/>
          <w:sz w:val="28"/>
          <w:szCs w:val="28"/>
        </w:rPr>
        <w:t>er</w:t>
      </w:r>
      <w:r w:rsidRPr="00A95263">
        <w:rPr>
          <w:rFonts w:ascii="標楷體" w:eastAsia="標楷體" w:hAnsi="標楷體" w:hint="eastAsia"/>
          <w:noProof/>
          <w:sz w:val="28"/>
          <w:szCs w:val="28"/>
        </w:rPr>
        <w:t>繞道併購foodpanda，企圖規避公平會先前禁止結合決定。考量Grab與foodpanda結合對於市場競爭與外送平臺各方</w:t>
      </w:r>
      <w:r w:rsidR="00375299">
        <w:rPr>
          <w:rFonts w:ascii="標楷體" w:eastAsia="標楷體" w:hAnsi="標楷體" w:hint="eastAsia"/>
          <w:noProof/>
          <w:sz w:val="28"/>
          <w:szCs w:val="28"/>
        </w:rPr>
        <w:t>參</w:t>
      </w:r>
      <w:r w:rsidRPr="00A95263">
        <w:rPr>
          <w:rFonts w:ascii="標楷體" w:eastAsia="標楷體" w:hAnsi="標楷體" w:hint="eastAsia"/>
          <w:noProof/>
          <w:sz w:val="28"/>
          <w:szCs w:val="28"/>
        </w:rPr>
        <w:t>與者(外送員、餐飲店家及消費者)影響重大，爰要求公平交易委員會於審查本結合案，應徵詢並聽取各方利害關係人意見，詳細審酌U</w:t>
      </w:r>
      <w:r w:rsidRPr="00A95263">
        <w:rPr>
          <w:rFonts w:ascii="標楷體" w:eastAsia="標楷體" w:hAnsi="標楷體"/>
          <w:noProof/>
          <w:sz w:val="28"/>
          <w:szCs w:val="28"/>
        </w:rPr>
        <w:t>ber</w:t>
      </w:r>
      <w:r w:rsidRPr="00A95263">
        <w:rPr>
          <w:rFonts w:ascii="標楷體" w:eastAsia="標楷體" w:hAnsi="標楷體" w:hint="eastAsia"/>
          <w:noProof/>
          <w:sz w:val="28"/>
          <w:szCs w:val="28"/>
        </w:rPr>
        <w:t>、Grab及foodpanda間的投資及控制數據壟斷及對市場競爭的可能影響，審慎評估是否同意Grab與foodpanda之結合。【2】</w:t>
      </w:r>
    </w:p>
    <w:p w14:paraId="62CADBC1"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提案人：謝衣鳯</w:t>
      </w:r>
    </w:p>
    <w:p w14:paraId="1B5D63DE" w14:textId="7A6948AF"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連署人：楊瓊瓔　洪毓祥　鍾佳濱</w:t>
      </w:r>
      <w:r w:rsidR="00375299" w:rsidRPr="00375299">
        <w:rPr>
          <w:rFonts w:ascii="標楷體" w:eastAsia="標楷體" w:hAnsi="標楷體" w:hint="eastAsia"/>
          <w:sz w:val="28"/>
          <w:szCs w:val="28"/>
        </w:rPr>
        <w:t xml:space="preserve">　</w:t>
      </w:r>
      <w:r w:rsidR="00CE0518">
        <w:rPr>
          <w:rFonts w:ascii="標楷體" w:eastAsia="標楷體" w:hAnsi="標楷體" w:hint="eastAsia"/>
          <w:sz w:val="28"/>
          <w:szCs w:val="28"/>
        </w:rPr>
        <w:t>鄭天財</w:t>
      </w:r>
      <w:r w:rsidR="00375299" w:rsidRPr="00375299">
        <w:rPr>
          <w:rFonts w:ascii="標楷體" w:eastAsia="標楷體" w:hAnsi="標楷體" w:hint="eastAsia"/>
          <w:sz w:val="28"/>
          <w:szCs w:val="28"/>
        </w:rPr>
        <w:t xml:space="preserve">　</w:t>
      </w:r>
      <w:r w:rsidR="00CE0518">
        <w:rPr>
          <w:rFonts w:ascii="標楷體" w:eastAsia="標楷體" w:hAnsi="標楷體" w:hint="eastAsia"/>
          <w:sz w:val="28"/>
          <w:szCs w:val="28"/>
        </w:rPr>
        <w:t>鄭正鈐</w:t>
      </w:r>
    </w:p>
    <w:p w14:paraId="68CCEC93" w14:textId="77777777" w:rsidR="00A95263" w:rsidRPr="00A95263" w:rsidRDefault="00A95263" w:rsidP="00A95263">
      <w:pPr>
        <w:pStyle w:val="a3"/>
        <w:numPr>
          <w:ilvl w:val="0"/>
          <w:numId w:val="8"/>
        </w:numPr>
        <w:snapToGrid w:val="0"/>
        <w:ind w:leftChars="178" w:left="1558" w:hangingChars="404" w:hanging="1131"/>
        <w:jc w:val="both"/>
        <w:rPr>
          <w:rFonts w:ascii="標楷體" w:eastAsia="標楷體" w:hAnsi="標楷體"/>
          <w:noProof/>
          <w:sz w:val="28"/>
          <w:szCs w:val="28"/>
        </w:rPr>
      </w:pPr>
      <w:r w:rsidRPr="00A95263">
        <w:rPr>
          <w:rFonts w:ascii="標楷體" w:eastAsia="標楷體" w:hAnsi="標楷體" w:hint="eastAsia"/>
          <w:noProof/>
          <w:sz w:val="28"/>
          <w:szCs w:val="28"/>
        </w:rPr>
        <w:t>112及113年度因違反聯合行為遭公平交易委員會處分案件較以往年度高，鑑於近年颱風豪雨造成農產品價格起伏，且國際政局動盪恐影響民生必需品之產銷變化，應持續密切關注市場</w:t>
      </w:r>
      <w:r w:rsidRPr="00A95263">
        <w:rPr>
          <w:rFonts w:ascii="標楷體" w:eastAsia="標楷體" w:hAnsi="標楷體" w:hint="eastAsia"/>
          <w:noProof/>
          <w:sz w:val="28"/>
          <w:szCs w:val="28"/>
        </w:rPr>
        <w:lastRenderedPageBreak/>
        <w:t>競爭趨勢，與產業主管機關妥善溝通協調，以維護消費者權益。爰要求公平交易委員會於1個月內向立法院經濟委員會提出如何就可能之違法聯合行為積極查處之書面報告。【</w:t>
      </w:r>
      <w:r w:rsidRPr="00A95263">
        <w:rPr>
          <w:rFonts w:ascii="標楷體" w:eastAsia="標楷體" w:hAnsi="標楷體"/>
          <w:noProof/>
          <w:sz w:val="28"/>
          <w:szCs w:val="28"/>
        </w:rPr>
        <w:t>3</w:t>
      </w:r>
      <w:r w:rsidRPr="00A95263">
        <w:rPr>
          <w:rFonts w:ascii="標楷體" w:eastAsia="標楷體" w:hAnsi="標楷體" w:hint="eastAsia"/>
          <w:noProof/>
          <w:sz w:val="28"/>
          <w:szCs w:val="28"/>
        </w:rPr>
        <w:t>】</w:t>
      </w:r>
    </w:p>
    <w:p w14:paraId="189CB4B2"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提案人：謝衣鳯　鄭天財　鄭正鈐</w:t>
      </w:r>
    </w:p>
    <w:p w14:paraId="4ECCDCB7" w14:textId="77777777" w:rsidR="00A95263" w:rsidRPr="00A95263" w:rsidRDefault="00A95263" w:rsidP="00A95263">
      <w:pPr>
        <w:pStyle w:val="a3"/>
        <w:numPr>
          <w:ilvl w:val="0"/>
          <w:numId w:val="8"/>
        </w:numPr>
        <w:snapToGrid w:val="0"/>
        <w:ind w:leftChars="178" w:left="1558" w:hangingChars="404" w:hanging="1131"/>
        <w:jc w:val="both"/>
        <w:rPr>
          <w:rFonts w:ascii="標楷體" w:eastAsia="標楷體" w:hAnsi="標楷體"/>
          <w:sz w:val="28"/>
          <w:szCs w:val="28"/>
        </w:rPr>
      </w:pPr>
      <w:r w:rsidRPr="00A95263">
        <w:rPr>
          <w:rFonts w:ascii="標楷體" w:eastAsia="標楷體" w:hAnsi="標楷體" w:hint="eastAsia"/>
          <w:noProof/>
          <w:sz w:val="28"/>
          <w:szCs w:val="28"/>
        </w:rPr>
        <w:t>115年度公平交易委員會預算於歲出第2目「公平交易業務」第1節「限制競爭行為調查處理」編列599萬3千元，該項業務之一在於處理各級產業聯合行為是否影響市場供需功能。「公平交易法」第15條規定聯合行為採「原則禁止、例外許可」，依據公平交易委員會案件辦理情形統計，截至115年4月20日止，申請聯合行為案總計250件，核准（含部分核准）169件，核准比例高達67.6%，有無與「例外」精神相抵觸？此外，「公平交易法」第15條第1項明定符合但書共八款要件下可豁免管制，惟據公平交易委員會年報資料，81至113年之聯合行為許可案件163案中，光是符合但書第5款許可之輸入聯合案件總計96件，占比達59%，其中絕大多數又屬大宗穀物合船進口申請案，此一管制之效益能否為全體國人所共享？由於聯合行為之准駁係以「有益於整體經濟與公共利益」為基礎，然從高核准率到偏重以穀物合船進口為主的聯合行為，雖有利於業者節省成本或提高效率，然而利害關係人卻無法合理分享。爰此，要求公平交易委員會於1個月內向立法院經濟委員會提出書面報告。</w:t>
      </w:r>
      <w:r w:rsidRPr="00A95263">
        <w:rPr>
          <w:rFonts w:ascii="標楷體" w:eastAsia="標楷體" w:hAnsi="標楷體" w:hint="eastAsia"/>
          <w:sz w:val="28"/>
          <w:szCs w:val="28"/>
        </w:rPr>
        <w:t>【</w:t>
      </w:r>
      <w:r w:rsidRPr="00A95263">
        <w:rPr>
          <w:rFonts w:ascii="標楷體" w:eastAsia="標楷體" w:hAnsi="標楷體"/>
          <w:noProof/>
          <w:sz w:val="28"/>
          <w:szCs w:val="28"/>
        </w:rPr>
        <w:t>4</w:t>
      </w:r>
      <w:r w:rsidRPr="00A95263">
        <w:rPr>
          <w:rFonts w:ascii="標楷體" w:eastAsia="標楷體" w:hAnsi="標楷體" w:hint="eastAsia"/>
          <w:sz w:val="28"/>
          <w:szCs w:val="28"/>
        </w:rPr>
        <w:t>】</w:t>
      </w:r>
    </w:p>
    <w:p w14:paraId="243C4055" w14:textId="77777777" w:rsidR="00A95263" w:rsidRPr="00A95263" w:rsidRDefault="00A95263" w:rsidP="00A95263">
      <w:pPr>
        <w:snapToGrid w:val="0"/>
        <w:ind w:leftChars="1500" w:left="4776" w:hangingChars="420" w:hanging="1176"/>
        <w:jc w:val="distribute"/>
        <w:rPr>
          <w:rFonts w:ascii="標楷體" w:eastAsia="標楷體" w:hAnsi="標楷體"/>
          <w:sz w:val="28"/>
          <w:szCs w:val="28"/>
        </w:rPr>
      </w:pPr>
      <w:r w:rsidRPr="00A95263">
        <w:rPr>
          <w:rFonts w:ascii="標楷體" w:eastAsia="標楷體" w:hAnsi="標楷體" w:hint="eastAsia"/>
          <w:sz w:val="28"/>
          <w:szCs w:val="28"/>
        </w:rPr>
        <w:t>提案人：張嘉郡　楊瓊瓔　呂玉玲　鄭正鈐</w:t>
      </w:r>
    </w:p>
    <w:p w14:paraId="367CCD47" w14:textId="291A905D" w:rsidR="00A95263" w:rsidRPr="00A95263" w:rsidRDefault="00A95263" w:rsidP="00A95263">
      <w:pPr>
        <w:pStyle w:val="a3"/>
        <w:numPr>
          <w:ilvl w:val="0"/>
          <w:numId w:val="8"/>
        </w:numPr>
        <w:snapToGrid w:val="0"/>
        <w:ind w:leftChars="178" w:left="1558" w:hangingChars="404" w:hanging="1131"/>
        <w:jc w:val="both"/>
        <w:rPr>
          <w:rFonts w:ascii="標楷體" w:eastAsia="標楷體" w:hAnsi="標楷體"/>
          <w:noProof/>
          <w:sz w:val="28"/>
          <w:szCs w:val="28"/>
        </w:rPr>
      </w:pPr>
      <w:r w:rsidRPr="00A95263">
        <w:rPr>
          <w:rFonts w:ascii="標楷體" w:eastAsia="標楷體" w:hAnsi="標楷體" w:hint="eastAsia"/>
          <w:noProof/>
          <w:sz w:val="28"/>
          <w:szCs w:val="28"/>
        </w:rPr>
        <w:t>115年度公平交易委員會預算於「限制競爭行為調查處理」編列599萬3千元，較114年度預算數571萬8千元增加27萬5千元（增幅4.81%），辦理事業有關獨占、結合及聯合行為、限制轉售價格及其他垂直限制競爭行為之調查處理、掌握重要產業市場動態及建置市場公平競爭機制等事項。經查，109至113年間聯合行為處分案件共計41件，裁罰金額達24億5,674萬元，其中主動調查僅15件（約36.6%），其餘26件（約63.4%）均由檢舉而來，顯示現行市場監測與主動查核機制仍有強化空間。另112及113年度處分案件數分別為10及16件，較以往年度明顯增加，反映部分產業違規風險上升，亦突顯既有預防與宣導措施成效有限。再者，112至114年7月底針對囤貨、哄抬價格及聯合壟斷等案件共處分13件，裁罰金額3億</w:t>
      </w:r>
      <w:r w:rsidR="001B7D03">
        <w:rPr>
          <w:rFonts w:ascii="標楷體" w:eastAsia="標楷體" w:hAnsi="標楷體" w:hint="eastAsia"/>
          <w:noProof/>
          <w:sz w:val="28"/>
          <w:szCs w:val="28"/>
        </w:rPr>
        <w:t>0</w:t>
      </w:r>
      <w:r w:rsidR="001B7D03">
        <w:rPr>
          <w:rFonts w:ascii="標楷體" w:eastAsia="標楷體" w:hAnsi="標楷體"/>
          <w:noProof/>
          <w:sz w:val="28"/>
          <w:szCs w:val="28"/>
        </w:rPr>
        <w:t>,</w:t>
      </w:r>
      <w:r w:rsidRPr="00A95263">
        <w:rPr>
          <w:rFonts w:ascii="標楷體" w:eastAsia="標楷體" w:hAnsi="標楷體" w:hint="eastAsia"/>
          <w:noProof/>
          <w:sz w:val="28"/>
          <w:szCs w:val="28"/>
        </w:rPr>
        <w:t>550萬元，惟113年間部分已認定違反「公平交易法」第15條之案件，僅以警示處理未予裁罰，恐削弱法規嚇阻效果。復依行政院「穩定物價小組」及相關專案機制，雖已針對重要農畜產品及民生必需品進行價格監測，然整體查處仍偏重異常發生後之事後介入，面對近年颱風豪雨影響農產供應及國際關稅、地</w:t>
      </w:r>
      <w:r w:rsidRPr="00A95263">
        <w:rPr>
          <w:rFonts w:ascii="標楷體" w:eastAsia="標楷體" w:hAnsi="標楷體" w:hint="eastAsia"/>
          <w:noProof/>
          <w:sz w:val="28"/>
          <w:szCs w:val="28"/>
        </w:rPr>
        <w:lastRenderedPageBreak/>
        <w:t>緣政治衝突等外部變數，預警監測及即時因應能力仍顯不足。綜上，現行預算雖有成長，惟在主動查核、裁罰嚇阻及市場預警等面向仍存結構性缺口，允宜全面檢討資源配置及執行機制，以強化市場競爭秩序維護及穩定物價之政策效能。爰要求公平交易委員會於1個月內向立法院經濟委員會提出書面報告。【</w:t>
      </w:r>
      <w:r w:rsidRPr="00A95263">
        <w:rPr>
          <w:rFonts w:ascii="標楷體" w:eastAsia="標楷體" w:hAnsi="標楷體"/>
          <w:noProof/>
          <w:sz w:val="28"/>
          <w:szCs w:val="28"/>
        </w:rPr>
        <w:t>5</w:t>
      </w:r>
      <w:r w:rsidRPr="00A95263">
        <w:rPr>
          <w:rFonts w:ascii="標楷體" w:eastAsia="標楷體" w:hAnsi="標楷體" w:hint="eastAsia"/>
          <w:noProof/>
          <w:sz w:val="28"/>
          <w:szCs w:val="28"/>
        </w:rPr>
        <w:t>】</w:t>
      </w:r>
    </w:p>
    <w:p w14:paraId="6CDBF2CF"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提案人：邱志偉</w:t>
      </w:r>
    </w:p>
    <w:p w14:paraId="4CFEDD1E"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連署人：邱議瑩　賴瑞隆</w:t>
      </w:r>
    </w:p>
    <w:p w14:paraId="6875B3B8" w14:textId="77777777" w:rsidR="00A95263" w:rsidRPr="00A95263" w:rsidRDefault="00A95263" w:rsidP="00A95263">
      <w:pPr>
        <w:pStyle w:val="a3"/>
        <w:numPr>
          <w:ilvl w:val="0"/>
          <w:numId w:val="8"/>
        </w:numPr>
        <w:snapToGrid w:val="0"/>
        <w:ind w:leftChars="178" w:left="1558" w:hangingChars="404" w:hanging="1131"/>
        <w:jc w:val="both"/>
        <w:rPr>
          <w:rFonts w:ascii="標楷體" w:eastAsia="標楷體" w:hAnsi="標楷體"/>
          <w:noProof/>
          <w:sz w:val="28"/>
          <w:szCs w:val="28"/>
        </w:rPr>
      </w:pPr>
      <w:r w:rsidRPr="00A95263">
        <w:rPr>
          <w:rFonts w:ascii="標楷體" w:eastAsia="標楷體" w:hAnsi="標楷體" w:hint="eastAsia"/>
          <w:noProof/>
          <w:sz w:val="28"/>
          <w:szCs w:val="28"/>
        </w:rPr>
        <w:t>115年度公平交易委員會預算於第2目「公平交易業務」項下第1節「限制競爭行為調查處理」編列599萬3千元。較114年度預算數571萬8千元增加27萬5千元（增幅4.81%），經彙整公平會109至113年底針對聯合行為之行政處分統計，共處分41件，罰鍰金額計24億5,674萬元，其中由公平會主動調查案件數15件，經檢舉後調查案件則26件，超過總案件數六成，另112及113年度聯合行為經處分案件分別為10及16件，較以往年度明顯增加，顯示部分事業對禁止聯合行為之認知仍不足，允宜持續密切關注市場競爭動態，並與產業主管機關進行分工合作及溝通宣導，俾維市場交易秩序。爰要求公平交易委員會於3個月內向立法院經濟委員會提出書面報告。【</w:t>
      </w:r>
      <w:r w:rsidRPr="00A95263">
        <w:rPr>
          <w:rFonts w:ascii="標楷體" w:eastAsia="標楷體" w:hAnsi="標楷體"/>
          <w:noProof/>
          <w:sz w:val="28"/>
          <w:szCs w:val="28"/>
        </w:rPr>
        <w:t>6</w:t>
      </w:r>
      <w:r w:rsidRPr="00A95263">
        <w:rPr>
          <w:rFonts w:ascii="標楷體" w:eastAsia="標楷體" w:hAnsi="標楷體" w:hint="eastAsia"/>
          <w:noProof/>
          <w:sz w:val="28"/>
          <w:szCs w:val="28"/>
        </w:rPr>
        <w:t>】</w:t>
      </w:r>
    </w:p>
    <w:p w14:paraId="067C824C"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提案人：邱議瑩</w:t>
      </w:r>
    </w:p>
    <w:p w14:paraId="719F5906"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連署人：陳亭妃　賴瑞隆</w:t>
      </w:r>
    </w:p>
    <w:p w14:paraId="09273CF6" w14:textId="57EFD51C" w:rsidR="00A95263" w:rsidRPr="00A95263" w:rsidRDefault="00A95263" w:rsidP="00A95263">
      <w:pPr>
        <w:pStyle w:val="a3"/>
        <w:numPr>
          <w:ilvl w:val="0"/>
          <w:numId w:val="8"/>
        </w:numPr>
        <w:snapToGrid w:val="0"/>
        <w:ind w:leftChars="178" w:left="1558" w:hangingChars="404" w:hanging="1131"/>
        <w:jc w:val="both"/>
        <w:rPr>
          <w:rFonts w:ascii="標楷體" w:eastAsia="標楷體" w:hAnsi="標楷體"/>
          <w:noProof/>
          <w:sz w:val="28"/>
          <w:szCs w:val="28"/>
        </w:rPr>
      </w:pPr>
      <w:r w:rsidRPr="00A95263">
        <w:rPr>
          <w:rFonts w:ascii="標楷體" w:eastAsia="標楷體" w:hAnsi="標楷體" w:hint="eastAsia"/>
          <w:noProof/>
          <w:sz w:val="28"/>
          <w:szCs w:val="28"/>
        </w:rPr>
        <w:t>115年度公平交易委員會預算於「限制競爭行為調查處理」編列599萬3千元，較114年度增加27萬5千元，辦理事業有關獨占、結合及聯合行為、限制轉售價格及其他垂直限制競爭行為之調查處理、掌握重要產業市場動態及建置市場公平競爭機制等事項。惟查，近年零售市場搭售（綑綁銷售）行為日益氾濫，特別是在消費性電子產品，通路商如原價屋等業者，或於銷售顯示卡等熱門商品時，惡意綑綁其他高價商品，要求消費者一併購買，或將此類熱門商品囤積居奇，在市場上僅少數取得代理及銷售商品時，聯手以飢餓銷售哄抬價格，消費者對此等基於通路商寡占所為之聯合抬價行為，僅能被迫接受以遠高於外國販售價格購買商品，或為購買正常價格商品轉往中國京東商城、各國Amazon等境外電商購買於我國缺乏足夠售後保障的商品，此類限制交易相對人活動之限制競爭行為，公平會應予重視並查處，以維護市場交易秩序及消費者權益。此外，我國近年來零售通路商併購案件持續增加，恐逐漸形成寡占情況，公平會亦應確實掌握，並確實查處不肖業者利用獨</w:t>
      </w:r>
      <w:r w:rsidR="001B7D03">
        <w:rPr>
          <w:rFonts w:ascii="標楷體" w:eastAsia="標楷體" w:hAnsi="標楷體" w:hint="eastAsia"/>
          <w:noProof/>
          <w:sz w:val="28"/>
          <w:szCs w:val="28"/>
        </w:rPr>
        <w:t>占</w:t>
      </w:r>
      <w:r w:rsidRPr="00A95263">
        <w:rPr>
          <w:rFonts w:ascii="標楷體" w:eastAsia="標楷體" w:hAnsi="標楷體" w:hint="eastAsia"/>
          <w:noProof/>
          <w:sz w:val="28"/>
          <w:szCs w:val="28"/>
        </w:rPr>
        <w:t>、寡占所為之聯合、垂直限制競爭、限制交易相對人活動等不法案件。爰要求公平交易委員會就我國零售通路業者之現況進行盤點，就已曾發生之限制競爭樣態、執法查處現況及對消費性電</w:t>
      </w:r>
      <w:r w:rsidRPr="00A95263">
        <w:rPr>
          <w:rFonts w:ascii="標楷體" w:eastAsia="標楷體" w:hAnsi="標楷體" w:hint="eastAsia"/>
          <w:noProof/>
          <w:sz w:val="28"/>
          <w:szCs w:val="28"/>
        </w:rPr>
        <w:lastRenderedPageBreak/>
        <w:t>子產品通路市場加強監管與消費者保護對策，於1個月內向立法院經濟委員會提出書面報告。【</w:t>
      </w:r>
      <w:r w:rsidRPr="00A95263">
        <w:rPr>
          <w:rFonts w:ascii="標楷體" w:eastAsia="標楷體" w:hAnsi="標楷體"/>
          <w:noProof/>
          <w:sz w:val="28"/>
          <w:szCs w:val="28"/>
        </w:rPr>
        <w:t>7</w:t>
      </w:r>
      <w:r w:rsidRPr="00A95263">
        <w:rPr>
          <w:rFonts w:ascii="標楷體" w:eastAsia="標楷體" w:hAnsi="標楷體" w:hint="eastAsia"/>
          <w:noProof/>
          <w:sz w:val="28"/>
          <w:szCs w:val="28"/>
        </w:rPr>
        <w:t>】</w:t>
      </w:r>
    </w:p>
    <w:p w14:paraId="415A4D8F"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提案人：賴瑞隆</w:t>
      </w:r>
    </w:p>
    <w:p w14:paraId="405E3686"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連署人：邱議瑩　陳亭</w:t>
      </w:r>
      <w:proofErr w:type="gramStart"/>
      <w:r w:rsidRPr="00A95263">
        <w:rPr>
          <w:rFonts w:ascii="標楷體" w:eastAsia="標楷體" w:hAnsi="標楷體" w:hint="eastAsia"/>
          <w:sz w:val="28"/>
          <w:szCs w:val="28"/>
        </w:rPr>
        <w:t>妃</w:t>
      </w:r>
      <w:proofErr w:type="gramEnd"/>
    </w:p>
    <w:p w14:paraId="795E88C5" w14:textId="2ED40D80" w:rsidR="00A95263" w:rsidRPr="00A95263" w:rsidRDefault="00A95263" w:rsidP="00A95263">
      <w:pPr>
        <w:pStyle w:val="a3"/>
        <w:numPr>
          <w:ilvl w:val="0"/>
          <w:numId w:val="8"/>
        </w:numPr>
        <w:snapToGrid w:val="0"/>
        <w:ind w:leftChars="178" w:left="1558" w:hangingChars="404" w:hanging="1131"/>
        <w:jc w:val="both"/>
        <w:rPr>
          <w:rFonts w:ascii="標楷體" w:eastAsia="標楷體" w:hAnsi="標楷體"/>
          <w:noProof/>
          <w:sz w:val="28"/>
          <w:szCs w:val="28"/>
        </w:rPr>
      </w:pPr>
      <w:r w:rsidRPr="00A95263">
        <w:rPr>
          <w:rFonts w:ascii="標楷體" w:eastAsia="標楷體" w:hAnsi="標楷體" w:hint="eastAsia"/>
          <w:noProof/>
          <w:sz w:val="28"/>
          <w:szCs w:val="28"/>
        </w:rPr>
        <w:t>115年度公平交易委員會預算</w:t>
      </w:r>
      <w:r w:rsidR="001B7D03">
        <w:rPr>
          <w:rFonts w:ascii="標楷體" w:eastAsia="標楷體" w:hAnsi="標楷體" w:hint="eastAsia"/>
          <w:noProof/>
          <w:sz w:val="28"/>
          <w:szCs w:val="28"/>
        </w:rPr>
        <w:t>於</w:t>
      </w:r>
      <w:r w:rsidRPr="00A95263">
        <w:rPr>
          <w:rFonts w:ascii="標楷體" w:eastAsia="標楷體" w:hAnsi="標楷體" w:hint="eastAsia"/>
          <w:noProof/>
          <w:sz w:val="28"/>
          <w:szCs w:val="28"/>
        </w:rPr>
        <w:t>「限制競爭行為調查處理」項下「第一、三級產業獨占結合及聯合行為之調查處理」編列215萬元，調查商業、運輸業、通信業、金融業、不動產業及農、林、漁、牧業等事業體是否存在濫用獨占、結合、聯合行為等限制競爭行為，以建構完善市場公平競爭機制。惟根據「公平交易法」第15條第1項規定，若是有利於國家整體經濟和公共利益，經過公平交易委員會許可，事業體即可進行聯合行為。以當前現況觀之，提出申請業者以聯合進口黃豆、小麥、玉米等原物料為大宗。然公平交易委員會在准許業者從事聯合行為之際，並未將消費者物價指數年增率作為核可參考依據，故無法體現對於公眾之利益所在。爰此，要求公平交易委員會向立法院經濟委員會提出書面報告。【</w:t>
      </w:r>
      <w:r w:rsidRPr="00A95263">
        <w:rPr>
          <w:rFonts w:ascii="標楷體" w:eastAsia="標楷體" w:hAnsi="標楷體"/>
          <w:noProof/>
          <w:sz w:val="28"/>
          <w:szCs w:val="28"/>
        </w:rPr>
        <w:t>8</w:t>
      </w:r>
      <w:r w:rsidRPr="00A95263">
        <w:rPr>
          <w:rFonts w:ascii="標楷體" w:eastAsia="標楷體" w:hAnsi="標楷體" w:hint="eastAsia"/>
          <w:noProof/>
          <w:sz w:val="28"/>
          <w:szCs w:val="28"/>
        </w:rPr>
        <w:t>】</w:t>
      </w:r>
    </w:p>
    <w:p w14:paraId="3AB1E275"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提案人：呂玉玲　鄭正鈐　鄭天財</w:t>
      </w:r>
    </w:p>
    <w:p w14:paraId="554963C4" w14:textId="3287B134" w:rsidR="00A95263" w:rsidRPr="00A95263" w:rsidRDefault="00A95263" w:rsidP="001B7D03">
      <w:pPr>
        <w:pStyle w:val="a3"/>
        <w:numPr>
          <w:ilvl w:val="0"/>
          <w:numId w:val="8"/>
        </w:numPr>
        <w:snapToGrid w:val="0"/>
        <w:ind w:leftChars="178" w:left="1558" w:hangingChars="404" w:hanging="1131"/>
        <w:jc w:val="both"/>
        <w:rPr>
          <w:rFonts w:ascii="標楷體" w:eastAsia="標楷體" w:hAnsi="標楷體"/>
          <w:noProof/>
          <w:sz w:val="28"/>
          <w:szCs w:val="28"/>
        </w:rPr>
      </w:pPr>
      <w:r w:rsidRPr="00A95263">
        <w:rPr>
          <w:rFonts w:ascii="標楷體" w:eastAsia="標楷體" w:hAnsi="標楷體" w:hint="eastAsia"/>
          <w:noProof/>
          <w:sz w:val="28"/>
          <w:szCs w:val="28"/>
        </w:rPr>
        <w:t>115年度公平交易委員會預算於歲出第2目「公平交易業務」項下</w:t>
      </w:r>
      <w:r w:rsidRPr="00A95263">
        <w:rPr>
          <w:rFonts w:ascii="標楷體" w:eastAsia="標楷體" w:hAnsi="標楷體" w:hint="eastAsia"/>
          <w:sz w:val="28"/>
          <w:szCs w:val="28"/>
        </w:rPr>
        <w:t>第1節</w:t>
      </w:r>
      <w:r w:rsidRPr="00A95263">
        <w:rPr>
          <w:rFonts w:ascii="標楷體" w:eastAsia="標楷體" w:hAnsi="標楷體" w:hint="eastAsia"/>
          <w:noProof/>
          <w:sz w:val="28"/>
          <w:szCs w:val="28"/>
        </w:rPr>
        <w:t>「限制競爭行為調查處理」中「第一、三級產業獨占結合及聯合行為之調查處理」編列215萬元，由於進入加盟體系已成為國人自行創業或尋求事業第二春的常見選擇，然而日前爆發</w:t>
      </w:r>
      <w:r w:rsidR="001B7D03">
        <w:rPr>
          <w:rFonts w:ascii="標楷體" w:eastAsia="標楷體" w:hAnsi="標楷體" w:hint="eastAsia"/>
          <w:noProof/>
          <w:sz w:val="28"/>
          <w:szCs w:val="28"/>
        </w:rPr>
        <w:t>「</w:t>
      </w:r>
      <w:r w:rsidRPr="00A95263">
        <w:rPr>
          <w:rFonts w:ascii="標楷體" w:eastAsia="標楷體" w:hAnsi="標楷體" w:hint="eastAsia"/>
          <w:noProof/>
          <w:sz w:val="28"/>
          <w:szCs w:val="28"/>
        </w:rPr>
        <w:t>點22</w:t>
      </w:r>
      <w:r w:rsidR="001B7D03">
        <w:rPr>
          <w:rFonts w:ascii="標楷體" w:eastAsia="標楷體" w:hAnsi="標楷體" w:hint="eastAsia"/>
          <w:noProof/>
          <w:sz w:val="28"/>
          <w:szCs w:val="28"/>
        </w:rPr>
        <w:t>」</w:t>
      </w:r>
      <w:r w:rsidRPr="00A95263">
        <w:rPr>
          <w:rFonts w:ascii="標楷體" w:eastAsia="標楷體" w:hAnsi="標楷體" w:hint="eastAsia"/>
          <w:noProof/>
          <w:sz w:val="28"/>
          <w:szCs w:val="28"/>
        </w:rPr>
        <w:t>、</w:t>
      </w:r>
      <w:r w:rsidR="001B7D03">
        <w:rPr>
          <w:rFonts w:ascii="標楷體" w:eastAsia="標楷體" w:hAnsi="標楷體" w:hint="eastAsia"/>
          <w:noProof/>
          <w:sz w:val="28"/>
          <w:szCs w:val="28"/>
        </w:rPr>
        <w:t>「</w:t>
      </w:r>
      <w:r w:rsidRPr="00A95263">
        <w:rPr>
          <w:rFonts w:ascii="標楷體" w:eastAsia="標楷體" w:hAnsi="標楷體" w:hint="eastAsia"/>
          <w:noProof/>
          <w:sz w:val="28"/>
          <w:szCs w:val="28"/>
        </w:rPr>
        <w:t>全真瑜伽</w:t>
      </w:r>
      <w:r w:rsidR="001B7D03">
        <w:rPr>
          <w:rFonts w:ascii="標楷體" w:eastAsia="標楷體" w:hAnsi="標楷體" w:hint="eastAsia"/>
          <w:noProof/>
          <w:sz w:val="28"/>
          <w:szCs w:val="28"/>
        </w:rPr>
        <w:t>」</w:t>
      </w:r>
      <w:r w:rsidRPr="00A95263">
        <w:rPr>
          <w:rFonts w:ascii="標楷體" w:eastAsia="標楷體" w:hAnsi="標楷體" w:hint="eastAsia"/>
          <w:noProof/>
          <w:sz w:val="28"/>
          <w:szCs w:val="28"/>
        </w:rPr>
        <w:t>、</w:t>
      </w:r>
      <w:r w:rsidR="001B7D03">
        <w:rPr>
          <w:rFonts w:ascii="標楷體" w:eastAsia="標楷體" w:hAnsi="標楷體" w:hint="eastAsia"/>
          <w:noProof/>
          <w:sz w:val="28"/>
          <w:szCs w:val="28"/>
        </w:rPr>
        <w:t>「</w:t>
      </w:r>
      <w:r w:rsidRPr="00A95263">
        <w:rPr>
          <w:rFonts w:ascii="標楷體" w:eastAsia="標楷體" w:hAnsi="標楷體" w:hint="eastAsia"/>
          <w:noProof/>
          <w:sz w:val="28"/>
          <w:szCs w:val="28"/>
        </w:rPr>
        <w:t>SHISHENG十盛</w:t>
      </w:r>
      <w:r w:rsidR="001B7D03">
        <w:rPr>
          <w:rFonts w:ascii="標楷體" w:eastAsia="標楷體" w:hAnsi="標楷體" w:hint="eastAsia"/>
          <w:noProof/>
          <w:sz w:val="28"/>
          <w:szCs w:val="28"/>
        </w:rPr>
        <w:t>」</w:t>
      </w:r>
      <w:r w:rsidRPr="00A95263">
        <w:rPr>
          <w:rFonts w:ascii="標楷體" w:eastAsia="標楷體" w:hAnsi="標楷體" w:hint="eastAsia"/>
          <w:noProof/>
          <w:sz w:val="28"/>
          <w:szCs w:val="28"/>
        </w:rPr>
        <w:t>等品牌在加盟方式改變、總部資訊優勢下，加盟者恐因資訊不透明而陷入經營困境成為弱勢一方，進而影響員工、消費者權益，公平交易委員會雖有訂定相關處理原則，並依法裁罰，然而倒閉事件仍時有所聞，為確保加盟事業自由及公平競爭，保障利害關係人權益，爰此，就私法契約規範外，如何強化「公平交易法」介入加盟契約之評價提出檢討，向立法院經濟委員會提出書面報告。【</w:t>
      </w:r>
      <w:r w:rsidRPr="00A95263">
        <w:rPr>
          <w:rFonts w:ascii="標楷體" w:eastAsia="標楷體" w:hAnsi="標楷體"/>
          <w:noProof/>
          <w:sz w:val="28"/>
          <w:szCs w:val="28"/>
        </w:rPr>
        <w:t>9</w:t>
      </w:r>
      <w:r w:rsidRPr="00A95263">
        <w:rPr>
          <w:rFonts w:ascii="標楷體" w:eastAsia="標楷體" w:hAnsi="標楷體" w:hint="eastAsia"/>
          <w:noProof/>
          <w:sz w:val="28"/>
          <w:szCs w:val="28"/>
        </w:rPr>
        <w:t>】</w:t>
      </w:r>
    </w:p>
    <w:p w14:paraId="7B85380E" w14:textId="77777777" w:rsidR="00A95263" w:rsidRPr="00A95263" w:rsidRDefault="00A95263" w:rsidP="00A95263">
      <w:pPr>
        <w:snapToGrid w:val="0"/>
        <w:ind w:leftChars="1500" w:left="4776" w:hangingChars="420" w:hanging="1176"/>
        <w:jc w:val="distribute"/>
        <w:rPr>
          <w:rFonts w:ascii="標楷體" w:eastAsia="標楷體" w:hAnsi="標楷體"/>
          <w:sz w:val="28"/>
          <w:szCs w:val="28"/>
        </w:rPr>
      </w:pPr>
      <w:r w:rsidRPr="00A95263">
        <w:rPr>
          <w:rFonts w:ascii="標楷體" w:eastAsia="標楷體" w:hAnsi="標楷體" w:hint="eastAsia"/>
          <w:sz w:val="28"/>
          <w:szCs w:val="28"/>
        </w:rPr>
        <w:t>提案人：張嘉郡　楊瓊瓔　呂玉玲　鄭正鈐</w:t>
      </w:r>
    </w:p>
    <w:p w14:paraId="40C479D5" w14:textId="1AA5F2A2" w:rsidR="00A95263" w:rsidRPr="00A95263" w:rsidRDefault="00A95263" w:rsidP="001B7D03">
      <w:pPr>
        <w:pStyle w:val="a3"/>
        <w:numPr>
          <w:ilvl w:val="0"/>
          <w:numId w:val="8"/>
        </w:numPr>
        <w:snapToGrid w:val="0"/>
        <w:ind w:leftChars="178" w:left="1275" w:hangingChars="303" w:hanging="848"/>
        <w:jc w:val="both"/>
        <w:rPr>
          <w:rFonts w:ascii="標楷體" w:eastAsia="標楷體" w:hAnsi="標楷體"/>
          <w:noProof/>
          <w:sz w:val="28"/>
          <w:szCs w:val="28"/>
        </w:rPr>
      </w:pPr>
      <w:r w:rsidRPr="00A95263">
        <w:rPr>
          <w:rFonts w:ascii="標楷體" w:eastAsia="標楷體" w:hAnsi="標楷體" w:hint="eastAsia"/>
          <w:noProof/>
          <w:sz w:val="28"/>
          <w:szCs w:val="28"/>
        </w:rPr>
        <w:t>115年度公平交易委員會預算於第2目「公平交易業務」項下「限制競爭行為調查處理」中「第一、三級產業獨占結合及聯合行為之調查處理」之「業務費」編列預算215萬元。鑑於全球資本市場活絡且數位經濟發展迅速，併購、入股、交叉持股已成為企業投資、擴張經營或進入跨地區、跨市場之常見手段。惟國際企業常透過海外母公司形成多元股權結構與交叉持股，使企業之決策主體、利益連結與實質控制力變得高度複雜化，此舉易生「繞道壟斷」之疑慮，更大幅提升公平交易委員會進行結合審查、限制競爭與聯合行為查處時之難度。故公平交易委員會應就如何因應</w:t>
      </w:r>
      <w:r w:rsidRPr="00A95263">
        <w:rPr>
          <w:rFonts w:ascii="標楷體" w:eastAsia="標楷體" w:hAnsi="標楷體" w:hint="eastAsia"/>
          <w:noProof/>
          <w:sz w:val="28"/>
          <w:szCs w:val="28"/>
        </w:rPr>
        <w:lastRenderedPageBreak/>
        <w:t>上開現況，精進審查「股權穿透與實質控制力認定」之手段、工具與法制，並研擬具體對策，以防堵跨國資本之不公平競爭，維護國內市場秩序與大眾利益。爰要求公平交易委員會於2個月內向立法院經濟委員會提出書面報告。【</w:t>
      </w:r>
      <w:r w:rsidRPr="00A95263">
        <w:rPr>
          <w:rFonts w:ascii="標楷體" w:eastAsia="標楷體" w:hAnsi="標楷體"/>
          <w:noProof/>
          <w:sz w:val="28"/>
          <w:szCs w:val="28"/>
        </w:rPr>
        <w:t>10</w:t>
      </w:r>
      <w:r w:rsidRPr="00A95263">
        <w:rPr>
          <w:rFonts w:ascii="標楷體" w:eastAsia="標楷體" w:hAnsi="標楷體" w:hint="eastAsia"/>
          <w:noProof/>
          <w:sz w:val="28"/>
          <w:szCs w:val="28"/>
        </w:rPr>
        <w:t>】</w:t>
      </w:r>
    </w:p>
    <w:p w14:paraId="4C82A6E3"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提案人：鍾佳濱</w:t>
      </w:r>
    </w:p>
    <w:p w14:paraId="4B492962"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連署人：蔡易餘　邱志偉</w:t>
      </w:r>
    </w:p>
    <w:p w14:paraId="50C5630D" w14:textId="11F03C8E" w:rsidR="00A95263" w:rsidRPr="00A95263" w:rsidRDefault="00A95263" w:rsidP="00A95263">
      <w:pPr>
        <w:pStyle w:val="a3"/>
        <w:numPr>
          <w:ilvl w:val="0"/>
          <w:numId w:val="8"/>
        </w:numPr>
        <w:snapToGrid w:val="0"/>
        <w:ind w:leftChars="178" w:left="1558" w:hangingChars="404" w:hanging="1131"/>
        <w:jc w:val="both"/>
        <w:rPr>
          <w:rFonts w:ascii="標楷體" w:eastAsia="標楷體" w:hAnsi="標楷體"/>
          <w:noProof/>
          <w:sz w:val="28"/>
          <w:szCs w:val="28"/>
        </w:rPr>
      </w:pPr>
      <w:r w:rsidRPr="00A95263">
        <w:rPr>
          <w:rFonts w:ascii="標楷體" w:eastAsia="標楷體" w:hAnsi="標楷體" w:hint="eastAsia"/>
          <w:noProof/>
          <w:sz w:val="28"/>
          <w:szCs w:val="28"/>
        </w:rPr>
        <w:t>115年度公平交易委員會預算於第2目「公平交易業務」項下「限制競爭行為調查處理」中「第二級產業獨占結合及聯合行為之調查處理」編列384萬3千元。本項計畫主要係辦理事業獨占、結合審查及聯合行為等涉及市場競爭秩序之重大案件調查與處理，攸關市場公平性、產業健全發展及消費者權益保障，其執行成效對於整體經濟秩序及競爭環境具有高度影響。然而，該項預算之編列與績效規劃，仍存有下列顯著不足之處：1、績效指標設計過於單一，未能反映執法品質與實質成效：現行計畫僅以「案件處理數量」作為主要</w:t>
      </w:r>
      <w:r w:rsidR="00555640">
        <w:rPr>
          <w:rFonts w:ascii="標楷體" w:eastAsia="標楷體" w:hAnsi="標楷體" w:hint="eastAsia"/>
          <w:noProof/>
          <w:sz w:val="28"/>
          <w:szCs w:val="28"/>
        </w:rPr>
        <w:t>績</w:t>
      </w:r>
      <w:r w:rsidRPr="00A95263">
        <w:rPr>
          <w:rFonts w:ascii="標楷體" w:eastAsia="標楷體" w:hAnsi="標楷體" w:hint="eastAsia"/>
          <w:noProof/>
          <w:sz w:val="28"/>
          <w:szCs w:val="28"/>
        </w:rPr>
        <w:t>效衡量指標，偏重量化統計，卻未納入案件處理品質、裁處妥適性、案件複雜度分級或對市場競爭影響程度等質化指標，致使外界難以判斷實際執法深度與政策效果。尤其在涉及高度專業之產業結構分析及競爭限制判斷時，僅以件數評估，恐流於形式，無法真實呈現機關執法能量。2、欠缺執法效率與時效性評估機制：本計畫未見針對案件平均處理期間、重大案件審查時程控管或跨部門協調效率等關鍵指標之規劃。鑑於企業結合審查與聯合行為調查具高度時效性，延宕處理恐影響市場競爭狀態甚至造成不可逆之市場結構變化，惟預算書中未見相關控管機制或改善策略，顯示對行政效率之重視尚有不足。3、預算配置與執法成果間缺乏具體連結：本項預算未清楚說明各項經費用途（如人力配置、專業分析、外部諮詢或數據蒐集等）與預期執法成果間之關聯性，亦未提出具體成果指標（例如重大違法案件裁罰金額、違法行為矯正效果、市場競爭改善情形等），致使預算合理性與必要性之評估基礎不足，難以確保資源配置之效益</w:t>
      </w:r>
      <w:r w:rsidR="00555640">
        <w:rPr>
          <w:rFonts w:ascii="標楷體" w:eastAsia="標楷體" w:hAnsi="標楷體" w:hint="eastAsia"/>
          <w:noProof/>
          <w:sz w:val="28"/>
          <w:szCs w:val="28"/>
        </w:rPr>
        <w:t>最</w:t>
      </w:r>
      <w:r w:rsidRPr="00A95263">
        <w:rPr>
          <w:rFonts w:ascii="標楷體" w:eastAsia="標楷體" w:hAnsi="標楷體" w:hint="eastAsia"/>
          <w:noProof/>
          <w:sz w:val="28"/>
          <w:szCs w:val="28"/>
        </w:rPr>
        <w:t>大化。4、未建立政策回饋與制度精進機制：針對歷年辦理之獨占、結合及聯合行為案件，尚未見有系統性之案例分析、執法趨勢檢討或制度缺失回饋機制，亦未提出如何透過本計畫強化競爭政策工具（如指引修正、審查標準精進等），顯示預算支出未能有效連結長期制度改善與政策優化。5、面對新型態市場競爭挑戰之準備不足：隨數位經濟與平台市場發展，市場支配力認定與聯合行為樣態日益複雜，惟本計畫未具體說明是否投入相關專業能量（如數據分析能力、數位市場調查工具或跨領域專家參與），恐難以因應新型競爭議題，影響執法前瞻性。綜上所述，為促使</w:t>
      </w:r>
      <w:r w:rsidRPr="00A95263">
        <w:rPr>
          <w:rFonts w:ascii="標楷體" w:eastAsia="標楷體" w:hAnsi="標楷體" w:hint="eastAsia"/>
          <w:noProof/>
          <w:sz w:val="28"/>
          <w:szCs w:val="28"/>
        </w:rPr>
        <w:lastRenderedPageBreak/>
        <w:t>公平交易委員會強化預算編列之績效導向，提升執法品質、效率及政策透明度，並確保公共資源配置符合實質監督要求，爰要求公平交易委員會於1個月內，就下列事項向立法院經濟委員會提出書面報告：「（1）提出具體之</w:t>
      </w:r>
      <w:r w:rsidR="00555640">
        <w:rPr>
          <w:rFonts w:ascii="標楷體" w:eastAsia="標楷體" w:hAnsi="標楷體" w:hint="eastAsia"/>
          <w:noProof/>
          <w:sz w:val="28"/>
          <w:szCs w:val="28"/>
        </w:rPr>
        <w:t>績</w:t>
      </w:r>
      <w:r w:rsidRPr="00A95263">
        <w:rPr>
          <w:rFonts w:ascii="標楷體" w:eastAsia="標楷體" w:hAnsi="標楷體" w:hint="eastAsia"/>
          <w:noProof/>
          <w:sz w:val="28"/>
          <w:szCs w:val="28"/>
        </w:rPr>
        <w:t>效評估指標，包含質化指標（如案件影響程度、裁處妥適性）及效率指標（如平均辦理時程）。（2）說明預算配置與執法成果間之對應關係，並提出可量化之成果目標。（3）檢討歷年執法成果，提出制度精進及政策回饋機制。（4）針對數位經濟及新型態競爭行為，說明未來執法能力建構及資源投入規劃。」【</w:t>
      </w:r>
      <w:r w:rsidRPr="00A95263">
        <w:rPr>
          <w:rFonts w:ascii="標楷體" w:eastAsia="標楷體" w:hAnsi="標楷體"/>
          <w:noProof/>
          <w:sz w:val="28"/>
          <w:szCs w:val="28"/>
        </w:rPr>
        <w:t>11</w:t>
      </w:r>
      <w:r w:rsidRPr="00A95263">
        <w:rPr>
          <w:rFonts w:ascii="標楷體" w:eastAsia="標楷體" w:hAnsi="標楷體" w:hint="eastAsia"/>
          <w:noProof/>
          <w:sz w:val="28"/>
          <w:szCs w:val="28"/>
        </w:rPr>
        <w:t>】</w:t>
      </w:r>
    </w:p>
    <w:p w14:paraId="3F75CA61"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提案人：洪毓祥</w:t>
      </w:r>
    </w:p>
    <w:p w14:paraId="24E1D138"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連署人：鄭正鈐　鄭天財</w:t>
      </w:r>
    </w:p>
    <w:p w14:paraId="06240CFE" w14:textId="77528C10" w:rsidR="00A95263" w:rsidRPr="00A95263" w:rsidRDefault="00A95263" w:rsidP="00A95263">
      <w:pPr>
        <w:pStyle w:val="a3"/>
        <w:numPr>
          <w:ilvl w:val="0"/>
          <w:numId w:val="8"/>
        </w:numPr>
        <w:snapToGrid w:val="0"/>
        <w:ind w:leftChars="178" w:left="1558" w:hangingChars="404" w:hanging="1131"/>
        <w:jc w:val="both"/>
        <w:rPr>
          <w:rFonts w:ascii="標楷體" w:eastAsia="標楷體" w:hAnsi="標楷體"/>
          <w:noProof/>
          <w:sz w:val="28"/>
          <w:szCs w:val="28"/>
        </w:rPr>
      </w:pPr>
      <w:r w:rsidRPr="00A95263">
        <w:rPr>
          <w:rFonts w:ascii="標楷體" w:eastAsia="標楷體" w:hAnsi="標楷體" w:hint="eastAsia"/>
          <w:noProof/>
          <w:sz w:val="28"/>
          <w:szCs w:val="28"/>
        </w:rPr>
        <w:t>115年度公平交易委員會預算於「限制競爭行為調查處理」項下「第二級產業獨占結合及聯合行為之調查處理」編列384萬3千元，調查各項製造業、營造業、水電燃氣業等事業體是否有違反公平行為之行徑，以防範經濟力量過於集中。公平交易委員會已於112年5月通過統一集團與家樂福併購案，114年11月雙方正式確定301億</w:t>
      </w:r>
      <w:r w:rsidR="001A7D1F">
        <w:rPr>
          <w:rFonts w:ascii="標楷體" w:eastAsia="標楷體" w:hAnsi="標楷體" w:hint="eastAsia"/>
          <w:noProof/>
          <w:sz w:val="28"/>
          <w:szCs w:val="28"/>
        </w:rPr>
        <w:t>元</w:t>
      </w:r>
      <w:r w:rsidRPr="00A95263">
        <w:rPr>
          <w:rFonts w:ascii="標楷體" w:eastAsia="標楷體" w:hAnsi="標楷體" w:hint="eastAsia"/>
          <w:noProof/>
          <w:sz w:val="28"/>
          <w:szCs w:val="28"/>
        </w:rPr>
        <w:t>之收購金額，然統一集團為國內重要食品製造業，原與家樂福為上下游垂直供應鏈關係，此一合併案恐造成其他中下游經營處於不利地位。爰此，要求公平交易委員會於1個月內向立法院經濟委員會提出書面報告。【</w:t>
      </w:r>
      <w:r w:rsidRPr="00A95263">
        <w:rPr>
          <w:rFonts w:ascii="標楷體" w:eastAsia="標楷體" w:hAnsi="標楷體"/>
          <w:noProof/>
          <w:sz w:val="28"/>
          <w:szCs w:val="28"/>
        </w:rPr>
        <w:t>12</w:t>
      </w:r>
      <w:r w:rsidRPr="00A95263">
        <w:rPr>
          <w:rFonts w:ascii="標楷體" w:eastAsia="標楷體" w:hAnsi="標楷體" w:hint="eastAsia"/>
          <w:noProof/>
          <w:sz w:val="28"/>
          <w:szCs w:val="28"/>
        </w:rPr>
        <w:t>】</w:t>
      </w:r>
    </w:p>
    <w:p w14:paraId="30130FDE"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提案人：呂玉玲　鄭正鈐　鄭天財</w:t>
      </w:r>
    </w:p>
    <w:p w14:paraId="665475D6" w14:textId="77777777" w:rsidR="00A95263" w:rsidRPr="00A95263" w:rsidRDefault="00A95263" w:rsidP="00A95263">
      <w:pPr>
        <w:pStyle w:val="a3"/>
        <w:numPr>
          <w:ilvl w:val="0"/>
          <w:numId w:val="8"/>
        </w:numPr>
        <w:snapToGrid w:val="0"/>
        <w:ind w:leftChars="178" w:left="1558" w:hangingChars="404" w:hanging="1131"/>
        <w:jc w:val="both"/>
        <w:rPr>
          <w:rFonts w:ascii="標楷體" w:eastAsia="標楷體" w:hAnsi="標楷體"/>
          <w:sz w:val="28"/>
          <w:szCs w:val="28"/>
        </w:rPr>
      </w:pPr>
      <w:r w:rsidRPr="00A95263">
        <w:rPr>
          <w:rFonts w:ascii="標楷體" w:eastAsia="標楷體" w:hAnsi="標楷體" w:hint="eastAsia"/>
          <w:noProof/>
          <w:sz w:val="28"/>
          <w:szCs w:val="28"/>
        </w:rPr>
        <w:t>115年度公平交易委員會預算於「不公平競爭行為調查處理及多層次傳銷管理」編列226萬9千元。經查，多層次傳銷業者違規情形未見改善，114年截至7月底違規件數已達22件，超過110、112及113各年度全年件數。然該會每年僅辦理極少場次法規說明會，110至114年7月底累計僅7場、406人次，面對全國358.6萬名傳銷商，宣導能量顯著不足且流於形式。此外，財團法人多層次傳銷保護基金會雖增訂檢舉獎勵制度，惟實際發放案件多集中於程序報備違規，對整體法遵狀況提升有限。爰此，鑑於多層次傳銷管理成效低落，宣導推動不力，故建議公平交易委員會適時滾動檢討，以有效降低傳銷事業違規之發生。【</w:t>
      </w:r>
      <w:r w:rsidRPr="00A95263">
        <w:rPr>
          <w:rFonts w:ascii="標楷體" w:eastAsia="標楷體" w:hAnsi="標楷體"/>
          <w:noProof/>
          <w:sz w:val="28"/>
          <w:szCs w:val="28"/>
        </w:rPr>
        <w:t>13</w:t>
      </w:r>
      <w:r w:rsidRPr="00A95263">
        <w:rPr>
          <w:rFonts w:ascii="標楷體" w:eastAsia="標楷體" w:hAnsi="標楷體" w:hint="eastAsia"/>
          <w:noProof/>
          <w:sz w:val="28"/>
          <w:szCs w:val="28"/>
        </w:rPr>
        <w:t>】</w:t>
      </w:r>
    </w:p>
    <w:p w14:paraId="513989CD"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提案人：楊瓊瓔　呂玉玲　鄭天財</w:t>
      </w:r>
    </w:p>
    <w:p w14:paraId="27686F5E" w14:textId="584866A2" w:rsidR="00A95263" w:rsidRPr="00A95263" w:rsidRDefault="00A95263" w:rsidP="00A95263">
      <w:pPr>
        <w:pStyle w:val="a3"/>
        <w:numPr>
          <w:ilvl w:val="0"/>
          <w:numId w:val="8"/>
        </w:numPr>
        <w:snapToGrid w:val="0"/>
        <w:ind w:leftChars="178" w:left="1558" w:hangingChars="404" w:hanging="1131"/>
        <w:jc w:val="both"/>
        <w:rPr>
          <w:rFonts w:ascii="標楷體" w:eastAsia="標楷體" w:hAnsi="標楷體"/>
          <w:noProof/>
          <w:sz w:val="28"/>
          <w:szCs w:val="28"/>
        </w:rPr>
      </w:pPr>
      <w:r w:rsidRPr="00A95263">
        <w:rPr>
          <w:rFonts w:ascii="標楷體" w:eastAsia="標楷體" w:hAnsi="標楷體" w:hint="eastAsia"/>
          <w:noProof/>
          <w:sz w:val="28"/>
          <w:szCs w:val="28"/>
        </w:rPr>
        <w:t>115年度公平交易委員會預算於「不公平競爭行為調查處理及多層次傳銷管理」工作計畫編列226萬9千元，調查影響交易秩序之不實廣告行徑，以確保消費者權益。惟不動產交易金額龐大，虛偽不實之錯誤廣告層出不窮，公平交易委員會亦已於112年11月修訂「公平交易委員會對於不動產廣告案件之處理原則」，若違反「公平交易法」第21條規定即處以罰鍰。然110</w:t>
      </w:r>
      <w:r w:rsidRPr="00A95263">
        <w:rPr>
          <w:rFonts w:ascii="標楷體" w:eastAsia="標楷體" w:hAnsi="標楷體" w:hint="eastAsia"/>
          <w:noProof/>
          <w:sz w:val="28"/>
          <w:szCs w:val="28"/>
        </w:rPr>
        <w:lastRenderedPageBreak/>
        <w:t>至114年，不動產不實廣告</w:t>
      </w:r>
      <w:r w:rsidR="001A7D1F">
        <w:rPr>
          <w:rFonts w:ascii="標楷體" w:eastAsia="標楷體" w:hAnsi="標楷體" w:hint="eastAsia"/>
          <w:noProof/>
          <w:sz w:val="28"/>
          <w:szCs w:val="28"/>
        </w:rPr>
        <w:t>占</w:t>
      </w:r>
      <w:r w:rsidRPr="00A95263">
        <w:rPr>
          <w:rFonts w:ascii="標楷體" w:eastAsia="標楷體" w:hAnsi="標楷體" w:hint="eastAsia"/>
          <w:noProof/>
          <w:sz w:val="28"/>
          <w:szCs w:val="28"/>
        </w:rPr>
        <w:t>總案件數之17%，且對比建案總銷量多則數十億，不實廣告開罰金額卻僅有介於數十萬至數百萬間，顯見裁罰標準並無顧及比例原則，未能有效嚇阻建商。爰此，請公平交易委員會向立法院經濟委員會提出書面報告。【</w:t>
      </w:r>
      <w:r w:rsidRPr="00A95263">
        <w:rPr>
          <w:rFonts w:ascii="標楷體" w:eastAsia="標楷體" w:hAnsi="標楷體"/>
          <w:noProof/>
          <w:sz w:val="28"/>
          <w:szCs w:val="28"/>
        </w:rPr>
        <w:t>16</w:t>
      </w:r>
      <w:r w:rsidRPr="00A95263">
        <w:rPr>
          <w:rFonts w:ascii="標楷體" w:eastAsia="標楷體" w:hAnsi="標楷體" w:hint="eastAsia"/>
          <w:noProof/>
          <w:sz w:val="28"/>
          <w:szCs w:val="28"/>
        </w:rPr>
        <w:t>】</w:t>
      </w:r>
    </w:p>
    <w:p w14:paraId="6C852038"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提案人：呂玉玲　鄭天財　鄭正鈐</w:t>
      </w:r>
    </w:p>
    <w:p w14:paraId="4A31F197" w14:textId="77777777" w:rsidR="00A95263" w:rsidRPr="00A95263" w:rsidRDefault="00A95263" w:rsidP="00A95263">
      <w:pPr>
        <w:pStyle w:val="a3"/>
        <w:numPr>
          <w:ilvl w:val="0"/>
          <w:numId w:val="8"/>
        </w:numPr>
        <w:snapToGrid w:val="0"/>
        <w:ind w:leftChars="178" w:left="1558" w:hangingChars="404" w:hanging="1131"/>
        <w:jc w:val="both"/>
        <w:rPr>
          <w:rFonts w:ascii="標楷體" w:eastAsia="標楷體" w:hAnsi="標楷體"/>
          <w:noProof/>
          <w:sz w:val="28"/>
          <w:szCs w:val="28"/>
        </w:rPr>
      </w:pPr>
      <w:r w:rsidRPr="00A95263">
        <w:rPr>
          <w:rFonts w:ascii="標楷體" w:eastAsia="標楷體" w:hAnsi="標楷體" w:hint="eastAsia"/>
          <w:noProof/>
          <w:sz w:val="28"/>
          <w:szCs w:val="28"/>
        </w:rPr>
        <w:t>115年度公平交易委員會預算於第2目「公平交易業務」項下</w:t>
      </w:r>
      <w:r w:rsidRPr="00A95263">
        <w:rPr>
          <w:rFonts w:ascii="標楷體" w:eastAsia="標楷體" w:hAnsi="標楷體" w:hint="eastAsia"/>
          <w:sz w:val="28"/>
          <w:szCs w:val="28"/>
        </w:rPr>
        <w:t>第2節</w:t>
      </w:r>
      <w:r w:rsidRPr="00A95263">
        <w:rPr>
          <w:rFonts w:ascii="標楷體" w:eastAsia="標楷體" w:hAnsi="標楷體" w:hint="eastAsia"/>
          <w:noProof/>
          <w:sz w:val="28"/>
          <w:szCs w:val="28"/>
        </w:rPr>
        <w:t>「不公平競爭行為調查處理及多層次傳銷管理」編列226萬9千元。查近年來，國內連鎖加盟產業發展迅速，截至113年度連鎖品牌總部已達2,888家，惟加盟業主與有意加盟者間常存有高度訊息不對稱性，導致加盟糾紛頻傳。統計109至114年7月底，加盟業主違反「公平交易法」第25或21條之處分案件計15件，主要違規態樣集中於未依「公平交易委員會對於加盟業主經營行為案件之處理原則」，在締結加盟關係前充分揭露開始營運前及加盟營運期間之各項費用、加盟經營關係限制等重要資訊。甚有加盟業主於111年度遭處分後，未立即停止違法行為，於113年度再次遭到處分，顯見部分業者對法規認知不足或蓄意規避。鑑於加盟經營關係具排他性，資訊揭露不全將嚴重損害加盟者之創業權益，公平會應加強對加盟業主之法規宣導，並強化查處力道，以確保加盟事業之自由與公平競爭。爰請公平交易委員會於1個月內向立法院經濟委員會提出書面報告。【</w:t>
      </w:r>
      <w:r w:rsidRPr="00A95263">
        <w:rPr>
          <w:rFonts w:ascii="標楷體" w:eastAsia="標楷體" w:hAnsi="標楷體"/>
          <w:noProof/>
          <w:sz w:val="28"/>
          <w:szCs w:val="28"/>
        </w:rPr>
        <w:t>17</w:t>
      </w:r>
      <w:r w:rsidRPr="00A95263">
        <w:rPr>
          <w:rFonts w:ascii="標楷體" w:eastAsia="標楷體" w:hAnsi="標楷體" w:hint="eastAsia"/>
          <w:noProof/>
          <w:sz w:val="28"/>
          <w:szCs w:val="28"/>
        </w:rPr>
        <w:t>】</w:t>
      </w:r>
    </w:p>
    <w:p w14:paraId="790E0166"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提案人：邱志偉</w:t>
      </w:r>
    </w:p>
    <w:p w14:paraId="29589433"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連署人：邱議瑩　賴瑞隆</w:t>
      </w:r>
    </w:p>
    <w:p w14:paraId="463A42F7" w14:textId="5C5B6200" w:rsidR="00A95263" w:rsidRPr="00A95263" w:rsidRDefault="00A95263" w:rsidP="00A95263">
      <w:pPr>
        <w:pStyle w:val="a3"/>
        <w:numPr>
          <w:ilvl w:val="0"/>
          <w:numId w:val="8"/>
        </w:numPr>
        <w:snapToGrid w:val="0"/>
        <w:ind w:leftChars="178" w:left="1558" w:hangingChars="404" w:hanging="1131"/>
        <w:jc w:val="both"/>
        <w:rPr>
          <w:rFonts w:ascii="標楷體" w:eastAsia="標楷體" w:hAnsi="標楷體"/>
          <w:sz w:val="28"/>
          <w:szCs w:val="28"/>
        </w:rPr>
      </w:pPr>
      <w:r w:rsidRPr="00A95263">
        <w:rPr>
          <w:rFonts w:ascii="標楷體" w:eastAsia="標楷體" w:hAnsi="標楷體" w:hint="eastAsia"/>
          <w:noProof/>
          <w:sz w:val="28"/>
          <w:szCs w:val="28"/>
        </w:rPr>
        <w:t>115年度公平交易委員會預算於第2目「公平交易業務」項下</w:t>
      </w:r>
      <w:r w:rsidRPr="00A95263">
        <w:rPr>
          <w:rFonts w:ascii="標楷體" w:eastAsia="標楷體" w:hAnsi="標楷體" w:hint="eastAsia"/>
          <w:sz w:val="28"/>
          <w:szCs w:val="28"/>
        </w:rPr>
        <w:t>第2節</w:t>
      </w:r>
      <w:r w:rsidRPr="00A95263">
        <w:rPr>
          <w:rFonts w:ascii="標楷體" w:eastAsia="標楷體" w:hAnsi="標楷體" w:hint="eastAsia"/>
          <w:noProof/>
          <w:sz w:val="28"/>
          <w:szCs w:val="28"/>
        </w:rPr>
        <w:t>「不公平競爭行為調查處理及多層次傳銷管理」編列226萬9千元。依113年調查結果，全國多層次傳銷事業達433家，營業總額達1,055.06億元，傳銷商人數高達358.6萬人，產業規模龐大，然110至114年7月底違規案件累計達110件，其中113年雖降至9件，惟114年截至7月底已達22件，違規情形呈現反彈趨勢，顯示法遵狀況仍未穩定改善。另違規案件中裁罰82件，罰鍰總額僅1,904萬元，整體裁罰強度相對有限，對高規模產業之嚇阻效果恐有不足。再者，公平會近年辦理法規宣導說明會，110至114年7月底僅辦理7場、406人次，115年度亦僅規劃2場合計110人次，與358.6萬人之從業規模顯不相稱，宣導觸及率及實質效益有待檢討。另財團法人多層次傳銷保護基金會於112年11月訂定檢舉獎勵辦法，至114年7月底檢舉案件48件、處分17件，核定發放獎金16件105萬2,500元，實際發放12件55萬2,500元，整體檢舉</w:t>
      </w:r>
      <w:r w:rsidRPr="00A95263">
        <w:rPr>
          <w:rFonts w:ascii="標楷體" w:eastAsia="標楷體" w:hAnsi="標楷體" w:hint="eastAsia"/>
          <w:noProof/>
          <w:sz w:val="28"/>
          <w:szCs w:val="28"/>
        </w:rPr>
        <w:lastRenderedPageBreak/>
        <w:t>轉化為裁罰比例及對法遵改善之實質效果，尚待後續觀察。綜上，現行制度在宣導覆蓋、裁罰強度及檢舉誘因等面向仍存結構性限制，允宜檢討預算配置與執行策略，強化多層次傳銷市場之監管效能及消費者權益保障。爰請公平交易委員會於1個月內向立法院經濟委員會提出書面報告。【</w:t>
      </w:r>
      <w:r w:rsidRPr="00A95263">
        <w:rPr>
          <w:rFonts w:ascii="標楷體" w:eastAsia="標楷體" w:hAnsi="標楷體"/>
          <w:noProof/>
          <w:sz w:val="28"/>
          <w:szCs w:val="28"/>
        </w:rPr>
        <w:t>18</w:t>
      </w:r>
      <w:r w:rsidRPr="00A95263">
        <w:rPr>
          <w:rFonts w:ascii="標楷體" w:eastAsia="標楷體" w:hAnsi="標楷體" w:hint="eastAsia"/>
          <w:noProof/>
          <w:sz w:val="28"/>
          <w:szCs w:val="28"/>
        </w:rPr>
        <w:t>】</w:t>
      </w:r>
    </w:p>
    <w:p w14:paraId="4427E0C9"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提案人：邱志偉</w:t>
      </w:r>
    </w:p>
    <w:p w14:paraId="48E75DCE"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連署人：邱議瑩　賴瑞隆</w:t>
      </w:r>
    </w:p>
    <w:p w14:paraId="6F06790E" w14:textId="77777777" w:rsidR="00A95263" w:rsidRPr="00A95263" w:rsidRDefault="00A95263" w:rsidP="00A95263">
      <w:pPr>
        <w:pStyle w:val="a3"/>
        <w:numPr>
          <w:ilvl w:val="0"/>
          <w:numId w:val="8"/>
        </w:numPr>
        <w:snapToGrid w:val="0"/>
        <w:ind w:leftChars="178" w:left="1558" w:hangingChars="404" w:hanging="1131"/>
        <w:jc w:val="both"/>
        <w:rPr>
          <w:rFonts w:ascii="標楷體" w:eastAsia="標楷體" w:hAnsi="標楷體"/>
          <w:noProof/>
          <w:sz w:val="28"/>
          <w:szCs w:val="28"/>
        </w:rPr>
      </w:pPr>
      <w:r w:rsidRPr="00A95263">
        <w:rPr>
          <w:rFonts w:ascii="標楷體" w:eastAsia="標楷體" w:hAnsi="標楷體" w:hint="eastAsia"/>
          <w:noProof/>
          <w:sz w:val="28"/>
          <w:szCs w:val="28"/>
        </w:rPr>
        <w:t>115年度公平交易委員會預算於第2目「公平交易業務」項下</w:t>
      </w:r>
      <w:r w:rsidRPr="00A95263">
        <w:rPr>
          <w:rFonts w:ascii="標楷體" w:eastAsia="標楷體" w:hAnsi="標楷體" w:hint="eastAsia"/>
          <w:sz w:val="28"/>
          <w:szCs w:val="28"/>
        </w:rPr>
        <w:t>第2節</w:t>
      </w:r>
      <w:r w:rsidRPr="00A95263">
        <w:rPr>
          <w:rFonts w:ascii="標楷體" w:eastAsia="標楷體" w:hAnsi="標楷體" w:hint="eastAsia"/>
          <w:noProof/>
          <w:sz w:val="28"/>
          <w:szCs w:val="28"/>
        </w:rPr>
        <w:t>「不公平競爭行為調查處理及多層次傳銷管理」編列226萬9千元。公平交易委員會於施政計畫中已明列「擇定預售屋產業進行重點督導計畫」，並參與內政部辦理之預售屋銷售建案聯合稽查，近年亦對多家建商未提供完整資訊或要求先付定金始得審閱契約之行為祭出百萬罰鍰。惟針對建商刻意規避土地使用分區限制，利用廣告圖示或現場銷售話術誤導消費者之亂象，現行跨部會聯合稽查與事前防範成效仍有待加強。公平交易委員會應針對如何防範建商利用樣品屋及文宣將「非住宅產品」違規作為住宅行銷，提出具體查察作為，並就其「預售屋產業重點督導計畫」之執行成效，檢討如何深化與內政部、地方政府建管及消保單位之跨部會聯合稽查網絡。爰請公平交易委員會於3個月內向立法院經濟委員會提出書面報告。【</w:t>
      </w:r>
      <w:r w:rsidRPr="00A95263">
        <w:rPr>
          <w:rFonts w:ascii="標楷體" w:eastAsia="標楷體" w:hAnsi="標楷體"/>
          <w:noProof/>
          <w:sz w:val="28"/>
          <w:szCs w:val="28"/>
        </w:rPr>
        <w:t>20</w:t>
      </w:r>
      <w:r w:rsidRPr="00A95263">
        <w:rPr>
          <w:rFonts w:ascii="標楷體" w:eastAsia="標楷體" w:hAnsi="標楷體" w:hint="eastAsia"/>
          <w:noProof/>
          <w:sz w:val="28"/>
          <w:szCs w:val="28"/>
        </w:rPr>
        <w:t>】</w:t>
      </w:r>
    </w:p>
    <w:p w14:paraId="665F0A64"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提案人：陳超明</w:t>
      </w:r>
    </w:p>
    <w:p w14:paraId="671E855A"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連署人：鄭天財　呂玉玲</w:t>
      </w:r>
    </w:p>
    <w:p w14:paraId="18EEC489" w14:textId="77777777" w:rsidR="00A95263" w:rsidRPr="00A95263" w:rsidRDefault="00A95263" w:rsidP="00A95263">
      <w:pPr>
        <w:pStyle w:val="a3"/>
        <w:numPr>
          <w:ilvl w:val="0"/>
          <w:numId w:val="8"/>
        </w:numPr>
        <w:snapToGrid w:val="0"/>
        <w:ind w:leftChars="178" w:left="1558" w:hangingChars="404" w:hanging="1131"/>
        <w:jc w:val="both"/>
        <w:rPr>
          <w:rFonts w:ascii="標楷體" w:eastAsia="標楷體" w:hAnsi="標楷體"/>
          <w:noProof/>
          <w:sz w:val="28"/>
          <w:szCs w:val="28"/>
        </w:rPr>
      </w:pPr>
      <w:r w:rsidRPr="00A95263">
        <w:rPr>
          <w:rFonts w:ascii="標楷體" w:eastAsia="標楷體" w:hAnsi="標楷體" w:hint="eastAsia"/>
          <w:noProof/>
          <w:sz w:val="28"/>
          <w:szCs w:val="28"/>
        </w:rPr>
        <w:t>115年度公平交易委員會預算於第2目「公平交易業務」項下「不公平競爭行為調查處理及多層次傳銷管理」編列226萬9千元。公平交易委員會肩負多層次傳銷管理及個資保護輔導檢查之責，配合行政院「新世代打擊詐欺策略行動綱領」，公平會亦負責確認多層次傳銷業者無銷售虛擬通貨情事。惟近年變質傳銷結合區塊鏈、虛擬幣等名目吸金詐騙層出不窮，嚴重侵害民眾財產。公平交易委員會應加強跨部會合作，針對變質多層次傳銷與新興科技（如虛擬貨幣）結合之詐欺行為提出精進查察作為。爰請公平交易委員會於3個月內向立法院經濟委員會提出書面報告。【</w:t>
      </w:r>
      <w:r w:rsidRPr="00A95263">
        <w:rPr>
          <w:rFonts w:ascii="標楷體" w:eastAsia="標楷體" w:hAnsi="標楷體"/>
          <w:noProof/>
          <w:sz w:val="28"/>
          <w:szCs w:val="28"/>
        </w:rPr>
        <w:t>21</w:t>
      </w:r>
      <w:r w:rsidRPr="00A95263">
        <w:rPr>
          <w:rFonts w:ascii="標楷體" w:eastAsia="標楷體" w:hAnsi="標楷體" w:hint="eastAsia"/>
          <w:noProof/>
          <w:sz w:val="28"/>
          <w:szCs w:val="28"/>
        </w:rPr>
        <w:t>】</w:t>
      </w:r>
    </w:p>
    <w:p w14:paraId="1AF67265"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提案人：陳超明</w:t>
      </w:r>
    </w:p>
    <w:p w14:paraId="7B8F5020"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連署人：鄭天財　呂玉玲</w:t>
      </w:r>
    </w:p>
    <w:p w14:paraId="4401C7BF" w14:textId="77777777" w:rsidR="00A95263" w:rsidRPr="00A95263" w:rsidRDefault="00A95263" w:rsidP="001B7D03">
      <w:pPr>
        <w:pStyle w:val="a3"/>
        <w:numPr>
          <w:ilvl w:val="0"/>
          <w:numId w:val="8"/>
        </w:numPr>
        <w:snapToGrid w:val="0"/>
        <w:ind w:leftChars="178" w:left="1558" w:hangingChars="404" w:hanging="1131"/>
        <w:jc w:val="both"/>
        <w:rPr>
          <w:rFonts w:ascii="標楷體" w:eastAsia="標楷體" w:hAnsi="標楷體"/>
          <w:noProof/>
          <w:sz w:val="28"/>
          <w:szCs w:val="28"/>
        </w:rPr>
      </w:pPr>
      <w:r w:rsidRPr="00A95263">
        <w:rPr>
          <w:rFonts w:ascii="標楷體" w:eastAsia="標楷體" w:hAnsi="標楷體" w:hint="eastAsia"/>
          <w:noProof/>
          <w:sz w:val="28"/>
          <w:szCs w:val="28"/>
        </w:rPr>
        <w:t>115年度公平交易委員會預算於第2目「公平交易業務」項下第2節「不公平競爭行為調查處理及多層次傳銷管理」編列226萬9千元。建商於銷售預售屋時，屢生未提供完整資訊或要求先付定金始得審閱契約等顯失公平行為。公平交易委員會雖有擇定預售屋產業進行重點督導，並與內政部辦理聯合稽查，惟</w:t>
      </w:r>
      <w:r w:rsidRPr="00A95263">
        <w:rPr>
          <w:rFonts w:ascii="標楷體" w:eastAsia="標楷體" w:hAnsi="標楷體" w:hint="eastAsia"/>
          <w:noProof/>
          <w:sz w:val="28"/>
          <w:szCs w:val="28"/>
        </w:rPr>
        <w:lastRenderedPageBreak/>
        <w:t>不實廣告與欺罔行為仍頻傳，影響民眾購屋權益甚鉅。公平交易委員會應強化不動產廣告與預售屋不當行銷之查處，並提出未來精進作法及網路廣告監控機制。爰請公平交易委員會於3個月內向立法院經濟委員會提出書面報告。【</w:t>
      </w:r>
      <w:r w:rsidRPr="00A95263">
        <w:rPr>
          <w:rFonts w:ascii="標楷體" w:eastAsia="標楷體" w:hAnsi="標楷體"/>
          <w:noProof/>
          <w:sz w:val="28"/>
          <w:szCs w:val="28"/>
        </w:rPr>
        <w:t>22</w:t>
      </w:r>
      <w:r w:rsidRPr="00A95263">
        <w:rPr>
          <w:rFonts w:ascii="標楷體" w:eastAsia="標楷體" w:hAnsi="標楷體" w:hint="eastAsia"/>
          <w:noProof/>
          <w:sz w:val="28"/>
          <w:szCs w:val="28"/>
        </w:rPr>
        <w:t>】</w:t>
      </w:r>
    </w:p>
    <w:p w14:paraId="1358C86D"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提案人：陳超明</w:t>
      </w:r>
    </w:p>
    <w:p w14:paraId="500DAF80"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連署人：鄭天財　呂玉玲</w:t>
      </w:r>
    </w:p>
    <w:p w14:paraId="38129A4A" w14:textId="77777777" w:rsidR="00A95263" w:rsidRPr="00A95263" w:rsidRDefault="00A95263" w:rsidP="001B7D03">
      <w:pPr>
        <w:pStyle w:val="a3"/>
        <w:numPr>
          <w:ilvl w:val="0"/>
          <w:numId w:val="8"/>
        </w:numPr>
        <w:snapToGrid w:val="0"/>
        <w:ind w:leftChars="178" w:left="1275" w:hangingChars="303" w:hanging="848"/>
        <w:jc w:val="both"/>
        <w:rPr>
          <w:rFonts w:ascii="標楷體" w:eastAsia="標楷體" w:hAnsi="標楷體"/>
          <w:noProof/>
          <w:sz w:val="28"/>
          <w:szCs w:val="28"/>
        </w:rPr>
      </w:pPr>
      <w:r w:rsidRPr="00A95263">
        <w:rPr>
          <w:rFonts w:ascii="標楷體" w:eastAsia="標楷體" w:hAnsi="標楷體" w:hint="eastAsia"/>
          <w:noProof/>
          <w:sz w:val="28"/>
          <w:szCs w:val="28"/>
        </w:rPr>
        <w:t>115年度公平交易委員會預算於第2目「公平交易業務」項下「不公平競爭行為調查處理及多層次傳銷管理」中「業務費」編列226萬9千元。鑑於生成式人工智慧蓬勃發展，生成式AI已成為國人高度依賴之工具，並廣泛應用於資料搜尋、整合與商業活動，有逐漸取代傳統搜尋引擎之態勢。惟據近期國際產業動態指出，國際大型聊天機器人如ChatGPT等，已開始於部分地區嘗試投放廣告。若未來聊天機器人將商業贊助或廣告內容直接融入對話生成結果中，恐有混淆受聽人之虞。故公平交易委員會應就「生成式AI聊天機器人投放廣告及原生內容置入」，擬訂相關廣告揭露義務與規範，以防範新興數位科技衍生之不公平競爭與欺罔行為，確實維護市場交易秩序與大眾消費者權益。爰請公平交易委員會於2個月內就廣告使用生成式AI強制揭露義務議題向立法院經濟委員會提出書面報告。【</w:t>
      </w:r>
      <w:r w:rsidRPr="00A95263">
        <w:rPr>
          <w:rFonts w:ascii="標楷體" w:eastAsia="標楷體" w:hAnsi="標楷體"/>
          <w:noProof/>
          <w:sz w:val="28"/>
          <w:szCs w:val="28"/>
        </w:rPr>
        <w:t>23</w:t>
      </w:r>
      <w:r w:rsidRPr="00A95263">
        <w:rPr>
          <w:rFonts w:ascii="標楷體" w:eastAsia="標楷體" w:hAnsi="標楷體" w:hint="eastAsia"/>
          <w:noProof/>
          <w:sz w:val="28"/>
          <w:szCs w:val="28"/>
        </w:rPr>
        <w:t>】</w:t>
      </w:r>
    </w:p>
    <w:p w14:paraId="3CB5EC17"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提案人：鍾佳濱</w:t>
      </w:r>
    </w:p>
    <w:p w14:paraId="2A2EF4B7"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連署人：邱志偉　蔡易餘</w:t>
      </w:r>
    </w:p>
    <w:p w14:paraId="666ED975" w14:textId="38CB85D3" w:rsidR="00A95263" w:rsidRPr="00A95263" w:rsidRDefault="00A95263" w:rsidP="00A95263">
      <w:pPr>
        <w:pStyle w:val="a3"/>
        <w:numPr>
          <w:ilvl w:val="0"/>
          <w:numId w:val="8"/>
        </w:numPr>
        <w:snapToGrid w:val="0"/>
        <w:ind w:leftChars="178" w:left="1558" w:hangingChars="404" w:hanging="1131"/>
        <w:jc w:val="both"/>
        <w:rPr>
          <w:rFonts w:ascii="標楷體" w:eastAsia="標楷體" w:hAnsi="標楷體"/>
          <w:noProof/>
          <w:sz w:val="28"/>
          <w:szCs w:val="28"/>
        </w:rPr>
      </w:pPr>
      <w:r w:rsidRPr="00A95263">
        <w:rPr>
          <w:rFonts w:ascii="標楷體" w:eastAsia="標楷體" w:hAnsi="標楷體" w:hint="eastAsia"/>
          <w:noProof/>
          <w:sz w:val="28"/>
          <w:szCs w:val="28"/>
        </w:rPr>
        <w:t>115年度公平交易委員會預算於「法務及行政救濟業務」工作計畫編列200萬5千元，研擬「公平交易法」及「多層次傳銷管理法」之法規修訂，以落實公權力執行，維護市場公平競爭。惟根據公平交易委員會統計，110至114年處分案仍在行政救濟階段共計43件，由於其中涉犯聯合行為、不公平競爭、獨占等「公平交易法」重大違規樣態，嚴重損害市場交易秩序，公平交易委員會允宜強化處分理由及增加事證強度，以降低後續業者提起行政救濟之比例。爰要求公平交易委員會向立法院經濟委員會提出書面報告。【</w:t>
      </w:r>
      <w:r w:rsidRPr="00A95263">
        <w:rPr>
          <w:rFonts w:ascii="標楷體" w:eastAsia="標楷體" w:hAnsi="標楷體"/>
          <w:noProof/>
          <w:sz w:val="28"/>
          <w:szCs w:val="28"/>
        </w:rPr>
        <w:t>25</w:t>
      </w:r>
      <w:r w:rsidRPr="00A95263">
        <w:rPr>
          <w:rFonts w:ascii="標楷體" w:eastAsia="標楷體" w:hAnsi="標楷體" w:hint="eastAsia"/>
          <w:noProof/>
          <w:sz w:val="28"/>
          <w:szCs w:val="28"/>
        </w:rPr>
        <w:t>】</w:t>
      </w:r>
    </w:p>
    <w:p w14:paraId="45995A8F"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提案人：呂玉玲　鄭正鈐　鄭天財</w:t>
      </w:r>
    </w:p>
    <w:p w14:paraId="2733FFDC" w14:textId="72D9B1BC" w:rsidR="00A95263" w:rsidRPr="00A95263" w:rsidRDefault="00A95263" w:rsidP="00A95263">
      <w:pPr>
        <w:pStyle w:val="a3"/>
        <w:numPr>
          <w:ilvl w:val="0"/>
          <w:numId w:val="8"/>
        </w:numPr>
        <w:snapToGrid w:val="0"/>
        <w:ind w:leftChars="178" w:left="1558" w:hangingChars="404" w:hanging="1131"/>
        <w:jc w:val="both"/>
        <w:rPr>
          <w:rFonts w:ascii="標楷體" w:eastAsia="標楷體" w:hAnsi="標楷體"/>
          <w:noProof/>
          <w:sz w:val="28"/>
          <w:szCs w:val="28"/>
        </w:rPr>
      </w:pPr>
      <w:r w:rsidRPr="00A95263">
        <w:rPr>
          <w:rFonts w:ascii="標楷體" w:eastAsia="標楷體" w:hAnsi="標楷體" w:hint="eastAsia"/>
          <w:noProof/>
          <w:sz w:val="28"/>
          <w:szCs w:val="28"/>
        </w:rPr>
        <w:t>115年度公平交易委員會預算於第2目「公平交易業務」項下「法務及行政救濟業務」編列200萬5千元，業務之一係蒐集「公平交易法」與「多層次傳銷管理法」資料予以整理、分析，並據以研擬修訂法規。查「公平交易法」自106年6月14日修正公布後，迄今未再修正，而「多層次傳銷管理法」雖於113年8月7日修正第13條，亦僅針對傳銷事業與傳銷商締結之書面契約得以電子文件為之，核心條文未見異動，反觀公平交易委員會公布之案件辦理情形統計，關於行政處分如按違法行</w:t>
      </w:r>
      <w:r w:rsidRPr="00A95263">
        <w:rPr>
          <w:rFonts w:ascii="標楷體" w:eastAsia="標楷體" w:hAnsi="標楷體" w:hint="eastAsia"/>
          <w:noProof/>
          <w:sz w:val="28"/>
          <w:szCs w:val="28"/>
        </w:rPr>
        <w:lastRenderedPageBreak/>
        <w:t>為別分類，「虛偽不實或引人錯誤廣告行為」、「欺罔或顯失公平行為」與「違反多層次傳銷管理法行為」占前三位，更發現114年度相關數據卻較前年度不減反升，顯見宣導成效有限，相關法令檢討未能隨市場競爭與時俱進，爰要求公平交易委員會就主管法令提出立法或修法規劃，向立法院經濟委員會提出書面報告。【</w:t>
      </w:r>
      <w:r w:rsidRPr="00A95263">
        <w:rPr>
          <w:rFonts w:ascii="標楷體" w:eastAsia="標楷體" w:hAnsi="標楷體"/>
          <w:noProof/>
          <w:sz w:val="28"/>
          <w:szCs w:val="28"/>
        </w:rPr>
        <w:t>26</w:t>
      </w:r>
      <w:r w:rsidRPr="00A95263">
        <w:rPr>
          <w:rFonts w:ascii="標楷體" w:eastAsia="標楷體" w:hAnsi="標楷體" w:hint="eastAsia"/>
          <w:noProof/>
          <w:sz w:val="28"/>
          <w:szCs w:val="28"/>
        </w:rPr>
        <w:t>】</w:t>
      </w:r>
    </w:p>
    <w:p w14:paraId="10EB6195" w14:textId="77777777" w:rsidR="00A95263" w:rsidRPr="00A95263" w:rsidRDefault="00A95263" w:rsidP="00A95263">
      <w:pPr>
        <w:snapToGrid w:val="0"/>
        <w:ind w:leftChars="1500" w:left="4776" w:hangingChars="420" w:hanging="1176"/>
        <w:jc w:val="distribute"/>
        <w:rPr>
          <w:rFonts w:ascii="標楷體" w:eastAsia="標楷體" w:hAnsi="標楷體"/>
          <w:sz w:val="28"/>
          <w:szCs w:val="28"/>
        </w:rPr>
      </w:pPr>
      <w:r w:rsidRPr="00A95263">
        <w:rPr>
          <w:rFonts w:ascii="標楷體" w:eastAsia="標楷體" w:hAnsi="標楷體" w:hint="eastAsia"/>
          <w:sz w:val="28"/>
          <w:szCs w:val="28"/>
        </w:rPr>
        <w:t>提案人：張嘉郡　楊瓊瓔　呂玉玲　鄭正鈐</w:t>
      </w:r>
    </w:p>
    <w:p w14:paraId="310B4F9F" w14:textId="24848172" w:rsidR="00A95263" w:rsidRPr="00A95263" w:rsidRDefault="00A95263" w:rsidP="00A95263">
      <w:pPr>
        <w:pStyle w:val="a3"/>
        <w:numPr>
          <w:ilvl w:val="0"/>
          <w:numId w:val="8"/>
        </w:numPr>
        <w:snapToGrid w:val="0"/>
        <w:ind w:leftChars="178" w:left="1558" w:hangingChars="404" w:hanging="1131"/>
        <w:jc w:val="both"/>
        <w:rPr>
          <w:rFonts w:ascii="標楷體" w:eastAsia="標楷體" w:hAnsi="標楷體"/>
          <w:noProof/>
          <w:sz w:val="28"/>
          <w:szCs w:val="28"/>
        </w:rPr>
      </w:pPr>
      <w:r w:rsidRPr="00A95263">
        <w:rPr>
          <w:rFonts w:ascii="標楷體" w:eastAsia="標楷體" w:hAnsi="標楷體" w:hint="eastAsia"/>
          <w:noProof/>
          <w:sz w:val="28"/>
          <w:szCs w:val="28"/>
        </w:rPr>
        <w:t>115年度公平交易委員會預算於第2目「公平交易業務」項下「法務及行政救濟業務」編列200萬5千元。查近年來，公平交易委員會經處分之事業提起行政救濟之比例仍高，且鉅額罰鍰長期未能收繳入庫，影響政府債權管理。據統計，90至113年度間，行政救濟階段尚未確定之案件家數仍有103家；更甚者，截至114年7月底，該會罰金罰鍰預收款高達60億7,402萬6千元，其中超過七成（約44億元）竟屬106年度以前之陳年舊案。這些案件雖多已先行收繳罰鍰，但因行政訴訟程序冗長未定，導致預收款無法轉正為實質收入，嚴重影響預算執行績效。此現象凸顯公平會之行政處分在適法性或證據力上仍有遭挑戰之空間，致使業者頻繁提起救濟。為提升執法品質，公平交易委員會應通盤檢討過去處分案件後續提起行政救濟之各類型態，妥善運用競爭法資料庫強化處分理由與證據強度，以降低行政救濟比率並確保國庫權益。爰要求公平交易委員會於1個月內向立法院經濟委員會提出書面報告。【</w:t>
      </w:r>
      <w:r w:rsidRPr="00A95263">
        <w:rPr>
          <w:rFonts w:ascii="標楷體" w:eastAsia="標楷體" w:hAnsi="標楷體"/>
          <w:noProof/>
          <w:sz w:val="28"/>
          <w:szCs w:val="28"/>
        </w:rPr>
        <w:t>27</w:t>
      </w:r>
      <w:r w:rsidRPr="00A95263">
        <w:rPr>
          <w:rFonts w:ascii="標楷體" w:eastAsia="標楷體" w:hAnsi="標楷體" w:hint="eastAsia"/>
          <w:noProof/>
          <w:sz w:val="28"/>
          <w:szCs w:val="28"/>
        </w:rPr>
        <w:t>】</w:t>
      </w:r>
    </w:p>
    <w:p w14:paraId="19FA4CF9"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提案人：邱志偉</w:t>
      </w:r>
    </w:p>
    <w:p w14:paraId="3267A780"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連署人：邱議瑩　賴瑞隆</w:t>
      </w:r>
    </w:p>
    <w:p w14:paraId="4D91B86F" w14:textId="77777777" w:rsidR="00A95263" w:rsidRPr="00A95263" w:rsidRDefault="00A95263" w:rsidP="00A95263">
      <w:pPr>
        <w:pStyle w:val="a3"/>
        <w:numPr>
          <w:ilvl w:val="0"/>
          <w:numId w:val="8"/>
        </w:numPr>
        <w:snapToGrid w:val="0"/>
        <w:ind w:leftChars="178" w:left="1558" w:hangingChars="404" w:hanging="1131"/>
        <w:jc w:val="both"/>
        <w:rPr>
          <w:rFonts w:ascii="標楷體" w:eastAsia="標楷體" w:hAnsi="標楷體"/>
          <w:noProof/>
          <w:sz w:val="28"/>
          <w:szCs w:val="28"/>
        </w:rPr>
      </w:pPr>
      <w:r w:rsidRPr="00A95263">
        <w:rPr>
          <w:rFonts w:ascii="標楷體" w:eastAsia="標楷體" w:hAnsi="標楷體" w:hint="eastAsia"/>
          <w:noProof/>
          <w:sz w:val="28"/>
          <w:szCs w:val="28"/>
        </w:rPr>
        <w:t>115年度公平交易委員會預算於「法務及行政救濟業務」編列200萬5千元，以辦理「公平交易法」及「多層次傳銷管理法」等法規研擬與修訂、蒐集我國與外國有關「公平交易法」及「多層次傳銷管理法」資料並加以整理分析、移送「公平交易法」刑事違法案件、辦理行政執行案件、國家賠償案件及因公涉訟事件等業務。惟查，數位經濟的興起，特別網路效應與數據壟斷帶來的市場高度集中化，對公平會的傳統監管模式構成了嚴峻挑戰。學者與專家普遍批評公平會對數位市場的監管態度過於保守。相較於歐盟於111年提出的「數位市場法」（Digital Markets Act, DMA），其明確規定大型數位平台應遵守的「事前」行為規範，台灣目前仍主要採取「事後、被動的個案認定」方式。這種事後介入的模式，面對數位市場的快速變動與結構固化，往往難以取得時效性，可能導致在市場集中發生前無法有效介入，最終讓問題惡化至難以挽回的程度。此外，公平會在執法工具上也面臨限制，許多跨國反托拉斯案件，受限於台</w:t>
      </w:r>
      <w:r w:rsidRPr="00A95263">
        <w:rPr>
          <w:rFonts w:ascii="標楷體" w:eastAsia="標楷體" w:hAnsi="標楷體" w:hint="eastAsia"/>
          <w:noProof/>
          <w:sz w:val="28"/>
          <w:szCs w:val="28"/>
        </w:rPr>
        <w:lastRenderedPageBreak/>
        <w:t>灣現行法規「調查手段有限」與「裁處權時效過短」等問題，恐損害政府的執法威信。特別是在處理跨國數位巨頭時，缺乏如搜索扣押權等有效的調查手段，使得公平交易委員會難以取得關鍵證據，進一步削弱其執法能力。綜上，爰要求公平交易委員會向立法院經濟委員會就通盤檢討人工智慧與數位經濟時代公平法及相關公平會主管法規如何修正以面對未來執法挑戰，提出書面報告。【</w:t>
      </w:r>
      <w:r w:rsidRPr="00A95263">
        <w:rPr>
          <w:rFonts w:ascii="標楷體" w:eastAsia="標楷體" w:hAnsi="標楷體"/>
          <w:noProof/>
          <w:sz w:val="28"/>
          <w:szCs w:val="28"/>
        </w:rPr>
        <w:t>28</w:t>
      </w:r>
      <w:r w:rsidRPr="00A95263">
        <w:rPr>
          <w:rFonts w:ascii="標楷體" w:eastAsia="標楷體" w:hAnsi="標楷體" w:hint="eastAsia"/>
          <w:noProof/>
          <w:sz w:val="28"/>
          <w:szCs w:val="28"/>
        </w:rPr>
        <w:t>】</w:t>
      </w:r>
    </w:p>
    <w:p w14:paraId="6A5D597B"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提案人：賴瑞隆</w:t>
      </w:r>
    </w:p>
    <w:p w14:paraId="1A3EB7C0"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連署人：邱議瑩　陳亭</w:t>
      </w:r>
      <w:proofErr w:type="gramStart"/>
      <w:r w:rsidRPr="00A95263">
        <w:rPr>
          <w:rFonts w:ascii="標楷體" w:eastAsia="標楷體" w:hAnsi="標楷體" w:hint="eastAsia"/>
          <w:sz w:val="28"/>
          <w:szCs w:val="28"/>
        </w:rPr>
        <w:t>妃</w:t>
      </w:r>
      <w:proofErr w:type="gramEnd"/>
    </w:p>
    <w:p w14:paraId="731C0216" w14:textId="77777777" w:rsidR="00A95263" w:rsidRPr="00A95263" w:rsidRDefault="00A95263" w:rsidP="00A95263">
      <w:pPr>
        <w:pStyle w:val="a3"/>
        <w:numPr>
          <w:ilvl w:val="0"/>
          <w:numId w:val="8"/>
        </w:numPr>
        <w:snapToGrid w:val="0"/>
        <w:ind w:leftChars="178" w:left="1558" w:hangingChars="404" w:hanging="1131"/>
        <w:jc w:val="both"/>
        <w:rPr>
          <w:rFonts w:ascii="標楷體" w:eastAsia="標楷體" w:hAnsi="標楷體"/>
          <w:noProof/>
          <w:sz w:val="28"/>
          <w:szCs w:val="28"/>
        </w:rPr>
      </w:pPr>
      <w:r w:rsidRPr="00A95263">
        <w:rPr>
          <w:rFonts w:ascii="標楷體" w:eastAsia="標楷體" w:hAnsi="標楷體" w:hint="eastAsia"/>
          <w:noProof/>
          <w:sz w:val="28"/>
          <w:szCs w:val="28"/>
        </w:rPr>
        <w:t>115年度公平交易委員會預算於「綜合規劃及宣導業務」編列預算201萬1千元。近年網路科技發展，網路廣告虛偽不實或引人錯誤情形屢見不鮮。自111年起，此類廣告不實行政處分件數佔公平會當年度總處分件數比率均逾五成，且呈現增加趨勢，亟待研謀改善。據公平會統計，因實體零售與電子購物業虛實融合，網路廣告虛偽不實情形頻仍，且有6家廣告主被裁罰兩次以上，顯示公平會之地區性宣導說明會及文宣製作等業務成效不彰，未能有效提升業者認知以利遵循，爰請公平交易委員會加強宣導。【</w:t>
      </w:r>
      <w:r w:rsidRPr="00A95263">
        <w:rPr>
          <w:rFonts w:ascii="標楷體" w:eastAsia="標楷體" w:hAnsi="標楷體"/>
          <w:noProof/>
          <w:sz w:val="28"/>
          <w:szCs w:val="28"/>
        </w:rPr>
        <w:t>30</w:t>
      </w:r>
      <w:r w:rsidRPr="00A95263">
        <w:rPr>
          <w:rFonts w:ascii="標楷體" w:eastAsia="標楷體" w:hAnsi="標楷體" w:hint="eastAsia"/>
          <w:noProof/>
          <w:sz w:val="28"/>
          <w:szCs w:val="28"/>
        </w:rPr>
        <w:t>】</w:t>
      </w:r>
    </w:p>
    <w:p w14:paraId="1488EED2"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提案人：楊瓊瓔　呂玉玲　鄭天財</w:t>
      </w:r>
    </w:p>
    <w:p w14:paraId="643EA642" w14:textId="27EC4BA3" w:rsidR="00A95263" w:rsidRPr="00A95263" w:rsidRDefault="00A95263" w:rsidP="00A95263">
      <w:pPr>
        <w:pStyle w:val="a3"/>
        <w:numPr>
          <w:ilvl w:val="0"/>
          <w:numId w:val="8"/>
        </w:numPr>
        <w:snapToGrid w:val="0"/>
        <w:ind w:leftChars="178" w:left="1558" w:hangingChars="404" w:hanging="1131"/>
        <w:jc w:val="both"/>
        <w:rPr>
          <w:rFonts w:ascii="標楷體" w:eastAsia="標楷體" w:hAnsi="標楷體"/>
          <w:noProof/>
          <w:sz w:val="28"/>
          <w:szCs w:val="28"/>
        </w:rPr>
      </w:pPr>
      <w:r w:rsidRPr="00A95263">
        <w:rPr>
          <w:rFonts w:ascii="標楷體" w:eastAsia="標楷體" w:hAnsi="標楷體" w:hint="eastAsia"/>
          <w:noProof/>
          <w:sz w:val="28"/>
          <w:szCs w:val="28"/>
        </w:rPr>
        <w:t>115年度公平交易委員會預算於「綜合規劃及宣導業務」工作計畫編列201萬1千元，以辦理「公平交易法」及「多層次傳銷管理法」之宣導工作，俾使社會各界瞭解公平交易委員會執法現況，強化相關業務執行成效。惟公平交易委員會與</w:t>
      </w:r>
      <w:r w:rsidR="001A7D1F" w:rsidRPr="001A7D1F">
        <w:rPr>
          <w:rFonts w:ascii="標楷體" w:eastAsia="標楷體" w:hAnsi="標楷體" w:hint="eastAsia"/>
          <w:noProof/>
          <w:sz w:val="28"/>
          <w:szCs w:val="28"/>
        </w:rPr>
        <w:t>行政院</w:t>
      </w:r>
      <w:r w:rsidRPr="00A95263">
        <w:rPr>
          <w:rFonts w:ascii="標楷體" w:eastAsia="標楷體" w:hAnsi="標楷體" w:hint="eastAsia"/>
          <w:noProof/>
          <w:sz w:val="28"/>
          <w:szCs w:val="28"/>
        </w:rPr>
        <w:t>消費者保護會部分職能重疊，廣告不實所造成之消費糾紛難以釐清權責機關，導致民眾求助無門，有關單位亦有互相推諉之情事，難以確保消費者權益及維護市場公平競爭環境。為擴大服務能量，公平交易委員會應研議與</w:t>
      </w:r>
      <w:r w:rsidR="001A7D1F">
        <w:rPr>
          <w:rFonts w:ascii="標楷體" w:eastAsia="標楷體" w:hAnsi="標楷體" w:hint="eastAsia"/>
          <w:noProof/>
          <w:sz w:val="28"/>
          <w:szCs w:val="28"/>
        </w:rPr>
        <w:t>行政院</w:t>
      </w:r>
      <w:r w:rsidRPr="00A95263">
        <w:rPr>
          <w:rFonts w:ascii="標楷體" w:eastAsia="標楷體" w:hAnsi="標楷體" w:hint="eastAsia"/>
          <w:noProof/>
          <w:sz w:val="28"/>
          <w:szCs w:val="28"/>
        </w:rPr>
        <w:t>消費者保護會合併之可行方針，爰請公平交易委員會向立法院經濟委員會提出書面報告。【</w:t>
      </w:r>
      <w:r w:rsidRPr="00A95263">
        <w:rPr>
          <w:rFonts w:ascii="標楷體" w:eastAsia="標楷體" w:hAnsi="標楷體"/>
          <w:noProof/>
          <w:sz w:val="28"/>
          <w:szCs w:val="28"/>
        </w:rPr>
        <w:t>32</w:t>
      </w:r>
      <w:r w:rsidRPr="00A95263">
        <w:rPr>
          <w:rFonts w:ascii="標楷體" w:eastAsia="標楷體" w:hAnsi="標楷體" w:hint="eastAsia"/>
          <w:noProof/>
          <w:sz w:val="28"/>
          <w:szCs w:val="28"/>
        </w:rPr>
        <w:t>】</w:t>
      </w:r>
    </w:p>
    <w:p w14:paraId="527D261D"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提案人：呂玉玲　鄭正鈐　鄭天財</w:t>
      </w:r>
    </w:p>
    <w:p w14:paraId="262C1535" w14:textId="3CC62BFC" w:rsidR="00A95263" w:rsidRPr="00A95263" w:rsidRDefault="00A95263" w:rsidP="00A95263">
      <w:pPr>
        <w:pStyle w:val="a3"/>
        <w:numPr>
          <w:ilvl w:val="0"/>
          <w:numId w:val="8"/>
        </w:numPr>
        <w:snapToGrid w:val="0"/>
        <w:ind w:leftChars="178" w:left="1558" w:hangingChars="404" w:hanging="1131"/>
        <w:jc w:val="both"/>
        <w:rPr>
          <w:rFonts w:ascii="標楷體" w:eastAsia="標楷體" w:hAnsi="標楷體"/>
          <w:noProof/>
          <w:sz w:val="28"/>
          <w:szCs w:val="28"/>
        </w:rPr>
      </w:pPr>
      <w:r w:rsidRPr="00A95263">
        <w:rPr>
          <w:rFonts w:ascii="標楷體" w:eastAsia="標楷體" w:hAnsi="標楷體" w:hint="eastAsia"/>
          <w:noProof/>
          <w:sz w:val="28"/>
          <w:szCs w:val="28"/>
        </w:rPr>
        <w:t>115年度公平交易委員會預算於歲出第2目「公平交易業務」項下「綜合規劃及宣導業務」編列201萬1千元，預算書說明「係辦理綜合規劃及法規說明會等經費，較上年度增列辦理公平交易通訊及宣導說明會等經費20萬元」，鑑於公平交易委員會發行的「公平交易通訊」雙月刊是瞭解政府機關公平交易業務與國際趨勢的重要刊物，據查113至115年度預算書之計畫實施成果概述，其中113年度雖較</w:t>
      </w:r>
      <w:r w:rsidR="001A7D1F">
        <w:rPr>
          <w:rFonts w:ascii="標楷體" w:eastAsia="標楷體" w:hAnsi="標楷體" w:hint="eastAsia"/>
          <w:noProof/>
          <w:sz w:val="28"/>
          <w:szCs w:val="28"/>
        </w:rPr>
        <w:t>112</w:t>
      </w:r>
      <w:r w:rsidRPr="00A95263">
        <w:rPr>
          <w:rFonts w:ascii="標楷體" w:eastAsia="標楷體" w:hAnsi="標楷體" w:hint="eastAsia"/>
          <w:noProof/>
          <w:sz w:val="28"/>
          <w:szCs w:val="28"/>
        </w:rPr>
        <w:t>年度減列辦理公平交易通訊等經費，但兩個年度均仍發行逾7,500冊，而114年度同樣較113年度減列辦理公平交易通訊等經費，但對照113、114</w:t>
      </w:r>
      <w:r w:rsidRPr="00A95263">
        <w:rPr>
          <w:rFonts w:ascii="標楷體" w:eastAsia="標楷體" w:hAnsi="標楷體" w:hint="eastAsia"/>
          <w:noProof/>
          <w:sz w:val="28"/>
          <w:szCs w:val="28"/>
        </w:rPr>
        <w:lastRenderedPageBreak/>
        <w:t>兩年度前半年實施成果分別為3,780冊與3,700冊，差距甚微。此外，相關業務宣導亦未曾間斷，然而據立法院預算中心預算評估報告指出，近年違法聯合行為案件數持續增加、仍有加盟業主違反「公平交易法」第21或25條有關禁止不公平競爭規定、虛偽不實或引人錯誤廣告行為案件仍多等情事，顯然刊物與業務宣導連結性不足，成效有限，爰請公平交易委員會就如何提升出版刊物能見度，並精進業務文宣執行成效，向立法院經濟委員會提出檢討改進書面報告。【</w:t>
      </w:r>
      <w:r w:rsidRPr="00A95263">
        <w:rPr>
          <w:rFonts w:ascii="標楷體" w:eastAsia="標楷體" w:hAnsi="標楷體"/>
          <w:noProof/>
          <w:sz w:val="28"/>
          <w:szCs w:val="28"/>
        </w:rPr>
        <w:t>33</w:t>
      </w:r>
      <w:r w:rsidRPr="00A95263">
        <w:rPr>
          <w:rFonts w:ascii="標楷體" w:eastAsia="標楷體" w:hAnsi="標楷體" w:hint="eastAsia"/>
          <w:noProof/>
          <w:sz w:val="28"/>
          <w:szCs w:val="28"/>
        </w:rPr>
        <w:t>】</w:t>
      </w:r>
    </w:p>
    <w:p w14:paraId="04365099" w14:textId="77777777" w:rsidR="00A95263" w:rsidRPr="00A95263" w:rsidRDefault="00A95263" w:rsidP="00A95263">
      <w:pPr>
        <w:snapToGrid w:val="0"/>
        <w:ind w:leftChars="1500" w:left="4776" w:hangingChars="420" w:hanging="1176"/>
        <w:jc w:val="distribute"/>
        <w:rPr>
          <w:rFonts w:ascii="標楷體" w:eastAsia="標楷體" w:hAnsi="標楷體"/>
          <w:sz w:val="28"/>
          <w:szCs w:val="28"/>
        </w:rPr>
      </w:pPr>
      <w:r w:rsidRPr="00A95263">
        <w:rPr>
          <w:rFonts w:ascii="標楷體" w:eastAsia="標楷體" w:hAnsi="標楷體" w:hint="eastAsia"/>
          <w:sz w:val="28"/>
          <w:szCs w:val="28"/>
        </w:rPr>
        <w:t>提案人：張嘉郡　楊瓊瓔　呂玉玲　鄭正鈐</w:t>
      </w:r>
    </w:p>
    <w:p w14:paraId="32BEB5DB" w14:textId="77777777" w:rsidR="00A95263" w:rsidRPr="00A95263" w:rsidRDefault="00A95263" w:rsidP="00A95263">
      <w:pPr>
        <w:pStyle w:val="a3"/>
        <w:numPr>
          <w:ilvl w:val="0"/>
          <w:numId w:val="8"/>
        </w:numPr>
        <w:snapToGrid w:val="0"/>
        <w:ind w:leftChars="178" w:left="1558" w:hangingChars="404" w:hanging="1131"/>
        <w:jc w:val="both"/>
        <w:rPr>
          <w:rFonts w:ascii="標楷體" w:eastAsia="標楷體" w:hAnsi="標楷體"/>
          <w:noProof/>
          <w:sz w:val="28"/>
          <w:szCs w:val="28"/>
        </w:rPr>
      </w:pPr>
      <w:r w:rsidRPr="00A95263">
        <w:rPr>
          <w:rFonts w:ascii="標楷體" w:eastAsia="標楷體" w:hAnsi="標楷體" w:hint="eastAsia"/>
          <w:noProof/>
          <w:sz w:val="28"/>
          <w:szCs w:val="28"/>
        </w:rPr>
        <w:t>115年度公平交易委員會預算於第2目「公平交易業務」項下「綜合規劃及宣導業務」編列201萬1千元。查近年來，隨著數位經濟與網路科技蓬勃發展，民眾高度依賴網路資訊進行消費，然業者利用網路投放虛偽不實或引人錯誤廣告之情形日益嚴重。統計110至114年7月底，檢舉虛偽不實廣告案件達6,036件，且呈逐年增加趨勢；公平會裁罰此類案件共304件，占該會所有違法案件總處分件數比率超過五成。雖該會已於112年修訂「網路廣告案件處理原則」，但自修訂後至114年7月底，仍有168件網路廣告違規處分案，且竟有6家業者被裁罰2次以上，顯示現行宣導成效有限，業者對於網路廣告違法態樣之認知仍顯不足。鑑於實體零售與電子商務虛實整合已成趨勢，網路廣告規範之宣導刻不容緩，公平交易委員會應針對業者常犯之違法態樣進行更精準、有效之宣導，而非流於形式，以遏止網路不實廣告氾濫。爰請公平交易委員會於1個月內向立法院經濟委員會提出書面報告。【</w:t>
      </w:r>
      <w:r w:rsidRPr="00A95263">
        <w:rPr>
          <w:rFonts w:ascii="標楷體" w:eastAsia="標楷體" w:hAnsi="標楷體"/>
          <w:noProof/>
          <w:sz w:val="28"/>
          <w:szCs w:val="28"/>
        </w:rPr>
        <w:t>34</w:t>
      </w:r>
      <w:r w:rsidRPr="00A95263">
        <w:rPr>
          <w:rFonts w:ascii="標楷體" w:eastAsia="標楷體" w:hAnsi="標楷體" w:hint="eastAsia"/>
          <w:noProof/>
          <w:sz w:val="28"/>
          <w:szCs w:val="28"/>
        </w:rPr>
        <w:t>】</w:t>
      </w:r>
    </w:p>
    <w:p w14:paraId="595355D8"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提案人：邱志偉</w:t>
      </w:r>
    </w:p>
    <w:p w14:paraId="6D111DA7"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連署人：邱議瑩　賴瑞隆</w:t>
      </w:r>
    </w:p>
    <w:p w14:paraId="44AB75DF" w14:textId="77777777" w:rsidR="00A95263" w:rsidRPr="00A95263" w:rsidRDefault="00A95263" w:rsidP="001B7D03">
      <w:pPr>
        <w:pStyle w:val="a3"/>
        <w:numPr>
          <w:ilvl w:val="0"/>
          <w:numId w:val="8"/>
        </w:numPr>
        <w:snapToGrid w:val="0"/>
        <w:ind w:leftChars="178" w:left="1558" w:hangingChars="404" w:hanging="1131"/>
        <w:jc w:val="both"/>
        <w:rPr>
          <w:rFonts w:ascii="標楷體" w:eastAsia="標楷體" w:hAnsi="標楷體"/>
          <w:noProof/>
          <w:sz w:val="28"/>
          <w:szCs w:val="28"/>
        </w:rPr>
      </w:pPr>
      <w:r w:rsidRPr="00A95263">
        <w:rPr>
          <w:rFonts w:ascii="標楷體" w:eastAsia="標楷體" w:hAnsi="標楷體" w:hint="eastAsia"/>
          <w:noProof/>
          <w:sz w:val="28"/>
          <w:szCs w:val="28"/>
        </w:rPr>
        <w:t>115年度公平交易委員會預算於第2目「公平交易業務」項下「綜合規劃及宣導業務」編列201萬1千元。近年虛偽不實或引人錯誤廣告行為遭行政處分案件數仍多，且隨網路科技發展，業者開始經營網路社群進行行銷，雖公平交易委員會已於112年間修訂「公平交易委員會對於網路廣告案件之處理原則」，列示7項網路廣告違法行為態樣之案例，惟網路廣告虛偽不實或引人錯誤表示情形頻仍，允宜檢討過去宣導成效，並就時常發生之違法行為態樣對外詳細說明，俾利業者遵循。爰請公平交易委員會於3個月內向立法院經濟委員會提出書面報告。【</w:t>
      </w:r>
      <w:r w:rsidRPr="00A95263">
        <w:rPr>
          <w:rFonts w:ascii="標楷體" w:eastAsia="標楷體" w:hAnsi="標楷體"/>
          <w:noProof/>
          <w:sz w:val="28"/>
          <w:szCs w:val="28"/>
        </w:rPr>
        <w:t>36</w:t>
      </w:r>
      <w:r w:rsidRPr="00A95263">
        <w:rPr>
          <w:rFonts w:ascii="標楷體" w:eastAsia="標楷體" w:hAnsi="標楷體" w:hint="eastAsia"/>
          <w:noProof/>
          <w:sz w:val="28"/>
          <w:szCs w:val="28"/>
        </w:rPr>
        <w:t>】</w:t>
      </w:r>
    </w:p>
    <w:p w14:paraId="00D5BC90"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提案人：邱議瑩</w:t>
      </w:r>
    </w:p>
    <w:p w14:paraId="22AF9DE8"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連署人：陳亭妃　賴瑞隆</w:t>
      </w:r>
    </w:p>
    <w:p w14:paraId="46498C99" w14:textId="12B00736" w:rsidR="00A95263" w:rsidRPr="00A95263" w:rsidRDefault="00A95263" w:rsidP="001B7D03">
      <w:pPr>
        <w:pStyle w:val="a3"/>
        <w:numPr>
          <w:ilvl w:val="0"/>
          <w:numId w:val="8"/>
        </w:numPr>
        <w:snapToGrid w:val="0"/>
        <w:ind w:leftChars="178" w:left="1275" w:hangingChars="303" w:hanging="848"/>
        <w:jc w:val="both"/>
        <w:rPr>
          <w:rFonts w:ascii="標楷體" w:eastAsia="標楷體" w:hAnsi="標楷體"/>
          <w:noProof/>
          <w:sz w:val="28"/>
          <w:szCs w:val="28"/>
        </w:rPr>
      </w:pPr>
      <w:r w:rsidRPr="00A95263">
        <w:rPr>
          <w:rFonts w:ascii="標楷體" w:eastAsia="標楷體" w:hAnsi="標楷體" w:hint="eastAsia"/>
          <w:noProof/>
          <w:sz w:val="28"/>
          <w:szCs w:val="28"/>
        </w:rPr>
        <w:t>115年度公平交易委員會預算於「政策擬訂及國際交流業務」工作計畫編列449萬</w:t>
      </w:r>
      <w:r w:rsidR="001A7D1F">
        <w:rPr>
          <w:rFonts w:ascii="標楷體" w:eastAsia="標楷體" w:hAnsi="標楷體" w:hint="eastAsia"/>
          <w:noProof/>
          <w:sz w:val="28"/>
          <w:szCs w:val="28"/>
        </w:rPr>
        <w:t>元</w:t>
      </w:r>
      <w:r w:rsidRPr="00A95263">
        <w:rPr>
          <w:rFonts w:ascii="標楷體" w:eastAsia="標楷體" w:hAnsi="標楷體" w:hint="eastAsia"/>
          <w:noProof/>
          <w:sz w:val="28"/>
          <w:szCs w:val="28"/>
        </w:rPr>
        <w:t>，以推展競爭法之國際合作，透過經驗交流</w:t>
      </w:r>
      <w:r w:rsidRPr="00A95263">
        <w:rPr>
          <w:rFonts w:ascii="標楷體" w:eastAsia="標楷體" w:hAnsi="標楷體" w:hint="eastAsia"/>
          <w:noProof/>
          <w:sz w:val="28"/>
          <w:szCs w:val="28"/>
        </w:rPr>
        <w:lastRenderedPageBreak/>
        <w:t>作為公平交易政策擬訂之方針。數位經濟已成全球產業競逐核心，平台經濟、數位廣告、跨境電商快速發展，已對市場秩序產生實質影響。歐盟亦推動「數位市場法」維護數位市場及競爭環境，公平交易委員會亦於111年12月20日公布「數位經濟競爭政策白皮書」，提出未來監理方向，惟「公平交易法」及「多層次傳銷管理法」未與時俱進提出修正，公平交易委員會恐因法規規範之落差，降低執法能量，爰請公平交易委員會向立法院經濟委員會提出書面報告。【</w:t>
      </w:r>
      <w:r w:rsidRPr="00A95263">
        <w:rPr>
          <w:rFonts w:ascii="標楷體" w:eastAsia="標楷體" w:hAnsi="標楷體"/>
          <w:noProof/>
          <w:sz w:val="28"/>
          <w:szCs w:val="28"/>
        </w:rPr>
        <w:t>38</w:t>
      </w:r>
      <w:r w:rsidRPr="00A95263">
        <w:rPr>
          <w:rFonts w:ascii="標楷體" w:eastAsia="標楷體" w:hAnsi="標楷體" w:hint="eastAsia"/>
          <w:noProof/>
          <w:sz w:val="28"/>
          <w:szCs w:val="28"/>
        </w:rPr>
        <w:t>】</w:t>
      </w:r>
    </w:p>
    <w:p w14:paraId="0EA39B38"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提案人：呂玉玲　鄭正鈐　鄭天財</w:t>
      </w:r>
    </w:p>
    <w:p w14:paraId="35867608" w14:textId="56C682AA" w:rsidR="00A95263" w:rsidRPr="00A95263" w:rsidRDefault="00A95263" w:rsidP="00A95263">
      <w:pPr>
        <w:pStyle w:val="a3"/>
        <w:numPr>
          <w:ilvl w:val="0"/>
          <w:numId w:val="8"/>
        </w:numPr>
        <w:snapToGrid w:val="0"/>
        <w:ind w:leftChars="178" w:left="1558" w:hangingChars="404" w:hanging="1131"/>
        <w:jc w:val="both"/>
        <w:rPr>
          <w:rFonts w:ascii="標楷體" w:eastAsia="標楷體" w:hAnsi="標楷體"/>
          <w:noProof/>
          <w:sz w:val="28"/>
          <w:szCs w:val="28"/>
        </w:rPr>
      </w:pPr>
      <w:r w:rsidRPr="00A95263">
        <w:rPr>
          <w:rFonts w:ascii="標楷體" w:eastAsia="標楷體" w:hAnsi="標楷體"/>
          <w:noProof/>
          <w:sz w:val="28"/>
          <w:szCs w:val="28"/>
        </w:rPr>
        <w:t>115</w:t>
      </w:r>
      <w:r w:rsidRPr="00A95263">
        <w:rPr>
          <w:rFonts w:ascii="標楷體" w:eastAsia="標楷體" w:hAnsi="標楷體" w:hint="eastAsia"/>
          <w:noProof/>
          <w:sz w:val="28"/>
          <w:szCs w:val="28"/>
        </w:rPr>
        <w:t>年度公平交易委員會預算於第</w:t>
      </w:r>
      <w:r w:rsidRPr="00A95263">
        <w:rPr>
          <w:rFonts w:ascii="標楷體" w:eastAsia="標楷體" w:hAnsi="標楷體"/>
          <w:noProof/>
          <w:sz w:val="28"/>
          <w:szCs w:val="28"/>
        </w:rPr>
        <w:t>2</w:t>
      </w:r>
      <w:r w:rsidRPr="00A95263">
        <w:rPr>
          <w:rFonts w:ascii="標楷體" w:eastAsia="標楷體" w:hAnsi="標楷體" w:hint="eastAsia"/>
          <w:noProof/>
          <w:sz w:val="28"/>
          <w:szCs w:val="28"/>
        </w:rPr>
        <w:t>目「公平交易業務」項下「政策擬訂及國際交流業務」中「政策擬訂及國際交流業務」之「業務費」编列預算</w:t>
      </w:r>
      <w:r w:rsidRPr="00A95263">
        <w:rPr>
          <w:rFonts w:ascii="標楷體" w:eastAsia="標楷體" w:hAnsi="標楷體"/>
          <w:noProof/>
          <w:sz w:val="28"/>
          <w:szCs w:val="28"/>
        </w:rPr>
        <w:t>391</w:t>
      </w:r>
      <w:r w:rsidRPr="00A95263">
        <w:rPr>
          <w:rFonts w:ascii="標楷體" w:eastAsia="標楷體" w:hAnsi="標楷體" w:hint="eastAsia"/>
          <w:noProof/>
          <w:sz w:val="28"/>
          <w:szCs w:val="28"/>
        </w:rPr>
        <w:t>萬元。鑑於全球數位市場競爭型態演變，諸如LINE、Google、Apple等企業已從單純之社群通訊軟體、網際網路服務商和硬體供應商，擴張為橫跨AI人工智慧、數位支付、廣告投放、遠距醫療、影音娛樂和硬體設備等多元領域，形成跨平台、跨市場之「超級平台與封閉生態系」。面對數位巨頭挾其龐大數據與資金優勢，跨界進行「生態系鎖定」、不當交叉補貼與數據壟斷，公平交易委員會應接軌國際監理趨勢並廣納各界專家意見，就「跨市場生態系壟斷優勢」之不同樣態與反制措施進行研析，進而研擬具體法制規範，以確保平台經濟下消費者、第一線從業勞工與本土商家之多方公平競爭與權益保障。爰請公平交易委員會於2個月內就以下事項，向立法院經濟委員會提出書面報告：1、針對「數位平台生態系鎖定」與「數據壟斷」等新興限制競爭樣態，於現行公平交易法制框架下，如何將其納入獨占行為及事業結合之實質審查要件與評估基準。2、考量國際數位競爭法制發展趨勢，公平交易委員會因應上述議題之未來修法計畫、具體方向及可行性評估。【</w:t>
      </w:r>
      <w:r w:rsidRPr="00A95263">
        <w:rPr>
          <w:rFonts w:ascii="標楷體" w:eastAsia="標楷體" w:hAnsi="標楷體"/>
          <w:noProof/>
          <w:sz w:val="28"/>
          <w:szCs w:val="28"/>
        </w:rPr>
        <w:t>39</w:t>
      </w:r>
      <w:r w:rsidRPr="00A95263">
        <w:rPr>
          <w:rFonts w:ascii="標楷體" w:eastAsia="標楷體" w:hAnsi="標楷體" w:hint="eastAsia"/>
          <w:noProof/>
          <w:sz w:val="28"/>
          <w:szCs w:val="28"/>
        </w:rPr>
        <w:t>】</w:t>
      </w:r>
    </w:p>
    <w:p w14:paraId="026ADDB6"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提案人：鍾佳濱</w:t>
      </w:r>
    </w:p>
    <w:p w14:paraId="58C8498F"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連署人：邱志偉　蔡易餘</w:t>
      </w:r>
    </w:p>
    <w:p w14:paraId="7F5BF60C" w14:textId="77777777" w:rsidR="00B2692A" w:rsidRPr="00A95263" w:rsidRDefault="00B2692A" w:rsidP="00B2692A">
      <w:pPr>
        <w:pStyle w:val="Default"/>
        <w:numPr>
          <w:ilvl w:val="0"/>
          <w:numId w:val="6"/>
        </w:numPr>
        <w:spacing w:line="360" w:lineRule="exact"/>
        <w:jc w:val="both"/>
        <w:rPr>
          <w:rFonts w:hAnsi="標楷體"/>
          <w:bCs/>
          <w:color w:val="auto"/>
          <w:sz w:val="28"/>
          <w:szCs w:val="28"/>
        </w:rPr>
      </w:pPr>
      <w:r w:rsidRPr="00A95263">
        <w:rPr>
          <w:rFonts w:hAnsi="標楷體" w:hint="eastAsia"/>
          <w:bCs/>
          <w:color w:val="auto"/>
          <w:sz w:val="28"/>
          <w:szCs w:val="28"/>
        </w:rPr>
        <w:t>有關</w:t>
      </w:r>
      <w:proofErr w:type="gramStart"/>
      <w:r w:rsidRPr="00A95263">
        <w:rPr>
          <w:rFonts w:hAnsi="標楷體" w:hint="eastAsia"/>
          <w:bCs/>
          <w:color w:val="auto"/>
          <w:sz w:val="28"/>
          <w:szCs w:val="28"/>
        </w:rPr>
        <w:t>政事別歲出</w:t>
      </w:r>
      <w:proofErr w:type="gramEnd"/>
      <w:r w:rsidRPr="00A95263">
        <w:rPr>
          <w:rFonts w:hAnsi="標楷體" w:hint="eastAsia"/>
          <w:bCs/>
          <w:color w:val="auto"/>
          <w:sz w:val="28"/>
          <w:szCs w:val="28"/>
        </w:rPr>
        <w:t>預算隨同以上機關別審查結果調整。</w:t>
      </w:r>
    </w:p>
    <w:p w14:paraId="4B3E0DE7" w14:textId="77777777" w:rsidR="009A54E0" w:rsidRPr="00A95263" w:rsidRDefault="009A54E0" w:rsidP="00595984">
      <w:pPr>
        <w:snapToGrid w:val="0"/>
        <w:jc w:val="both"/>
        <w:rPr>
          <w:rFonts w:ascii="標楷體" w:eastAsia="標楷體" w:hAnsi="標楷體"/>
          <w:bCs/>
          <w:sz w:val="28"/>
          <w:szCs w:val="28"/>
        </w:rPr>
      </w:pPr>
    </w:p>
    <w:p w14:paraId="7B3547C7" w14:textId="21378241" w:rsidR="00595984" w:rsidRPr="00A95263" w:rsidRDefault="00595984" w:rsidP="00595984">
      <w:pPr>
        <w:snapToGrid w:val="0"/>
        <w:jc w:val="both"/>
        <w:rPr>
          <w:rFonts w:ascii="標楷體" w:eastAsia="標楷體" w:hAnsi="標楷體"/>
          <w:bCs/>
          <w:sz w:val="28"/>
          <w:szCs w:val="28"/>
        </w:rPr>
      </w:pPr>
      <w:proofErr w:type="gramStart"/>
      <w:r w:rsidRPr="00A95263">
        <w:rPr>
          <w:rFonts w:ascii="標楷體" w:eastAsia="標楷體" w:hAnsi="標楷體" w:hint="eastAsia"/>
          <w:bCs/>
          <w:sz w:val="28"/>
          <w:szCs w:val="28"/>
        </w:rPr>
        <w:t>115</w:t>
      </w:r>
      <w:proofErr w:type="gramEnd"/>
      <w:r w:rsidRPr="00A95263">
        <w:rPr>
          <w:rFonts w:ascii="標楷體" w:eastAsia="標楷體" w:hAnsi="標楷體" w:hint="eastAsia"/>
          <w:bCs/>
          <w:sz w:val="28"/>
          <w:szCs w:val="28"/>
        </w:rPr>
        <w:t>年度中央政府總預算案非營業部分關於公平交易委員會主管：反托拉斯基金</w:t>
      </w:r>
    </w:p>
    <w:p w14:paraId="460F95C7" w14:textId="77777777" w:rsidR="00595984" w:rsidRPr="00A95263" w:rsidRDefault="00595984" w:rsidP="00595984">
      <w:pPr>
        <w:snapToGrid w:val="0"/>
        <w:jc w:val="both"/>
        <w:rPr>
          <w:rFonts w:ascii="標楷體" w:eastAsia="標楷體" w:hAnsi="標楷體"/>
          <w:bCs/>
          <w:sz w:val="28"/>
          <w:szCs w:val="28"/>
        </w:rPr>
      </w:pPr>
      <w:r w:rsidRPr="00A95263">
        <w:rPr>
          <w:rFonts w:ascii="標楷體" w:eastAsia="標楷體" w:hAnsi="標楷體" w:hint="eastAsia"/>
          <w:bCs/>
          <w:sz w:val="28"/>
          <w:szCs w:val="28"/>
        </w:rPr>
        <w:t>丁、公平交易委員會主管</w:t>
      </w:r>
    </w:p>
    <w:p w14:paraId="5EF1D021" w14:textId="0EDA42D0" w:rsidR="00595984" w:rsidRPr="00A95263" w:rsidRDefault="00595984" w:rsidP="00595984">
      <w:pPr>
        <w:snapToGrid w:val="0"/>
        <w:jc w:val="both"/>
        <w:rPr>
          <w:rFonts w:ascii="標楷體" w:eastAsia="標楷體" w:hAnsi="標楷體"/>
          <w:bCs/>
          <w:sz w:val="28"/>
          <w:szCs w:val="28"/>
        </w:rPr>
      </w:pPr>
      <w:r w:rsidRPr="00A95263">
        <w:rPr>
          <w:rFonts w:ascii="標楷體" w:eastAsia="標楷體" w:hAnsi="標楷體" w:hint="eastAsia"/>
          <w:bCs/>
          <w:sz w:val="28"/>
          <w:szCs w:val="28"/>
        </w:rPr>
        <w:t>一、特別收入</w:t>
      </w:r>
      <w:proofErr w:type="gramStart"/>
      <w:r w:rsidRPr="00A95263">
        <w:rPr>
          <w:rFonts w:ascii="標楷體" w:eastAsia="標楷體" w:hAnsi="標楷體" w:hint="eastAsia"/>
          <w:bCs/>
          <w:sz w:val="28"/>
          <w:szCs w:val="28"/>
        </w:rPr>
        <w:t>基金</w:t>
      </w:r>
      <w:r w:rsidR="00CB7EC0" w:rsidRPr="00A95263">
        <w:rPr>
          <w:rFonts w:ascii="標楷體" w:eastAsia="標楷體" w:hAnsi="標楷體" w:hint="eastAsia"/>
          <w:bCs/>
          <w:sz w:val="28"/>
          <w:szCs w:val="28"/>
        </w:rPr>
        <w:t>－</w:t>
      </w:r>
      <w:r w:rsidRPr="00A95263">
        <w:rPr>
          <w:rFonts w:ascii="標楷體" w:eastAsia="標楷體" w:hAnsi="標楷體" w:hint="eastAsia"/>
          <w:bCs/>
          <w:sz w:val="28"/>
          <w:szCs w:val="28"/>
        </w:rPr>
        <w:t>反托拉斯</w:t>
      </w:r>
      <w:proofErr w:type="gramEnd"/>
      <w:r w:rsidRPr="00A95263">
        <w:rPr>
          <w:rFonts w:ascii="標楷體" w:eastAsia="標楷體" w:hAnsi="標楷體" w:hint="eastAsia"/>
          <w:bCs/>
          <w:sz w:val="28"/>
          <w:szCs w:val="28"/>
        </w:rPr>
        <w:t>基金</w:t>
      </w:r>
    </w:p>
    <w:p w14:paraId="7DCA5DD9" w14:textId="182555A2" w:rsidR="00595984" w:rsidRPr="00A95263" w:rsidRDefault="00595984" w:rsidP="00595984">
      <w:pPr>
        <w:snapToGrid w:val="0"/>
        <w:jc w:val="both"/>
        <w:rPr>
          <w:rFonts w:ascii="標楷體" w:eastAsia="標楷體" w:hAnsi="標楷體"/>
          <w:bCs/>
          <w:sz w:val="28"/>
          <w:szCs w:val="28"/>
        </w:rPr>
      </w:pPr>
      <w:r w:rsidRPr="00A95263">
        <w:rPr>
          <w:rFonts w:ascii="標楷體" w:eastAsia="標楷體" w:hAnsi="標楷體" w:hint="eastAsia"/>
          <w:bCs/>
          <w:sz w:val="28"/>
          <w:szCs w:val="28"/>
        </w:rPr>
        <w:t>(</w:t>
      </w:r>
      <w:proofErr w:type="gramStart"/>
      <w:r w:rsidRPr="00A95263">
        <w:rPr>
          <w:rFonts w:ascii="標楷體" w:eastAsia="標楷體" w:hAnsi="標楷體" w:hint="eastAsia"/>
          <w:bCs/>
          <w:sz w:val="28"/>
          <w:szCs w:val="28"/>
        </w:rPr>
        <w:t>一</w:t>
      </w:r>
      <w:proofErr w:type="gramEnd"/>
      <w:r w:rsidRPr="00A95263">
        <w:rPr>
          <w:rFonts w:ascii="標楷體" w:eastAsia="標楷體" w:hAnsi="標楷體" w:hint="eastAsia"/>
          <w:bCs/>
          <w:sz w:val="28"/>
          <w:szCs w:val="28"/>
        </w:rPr>
        <w:t>)業務計畫：應依據基金來源與用途審查結果，隨同調整。</w:t>
      </w:r>
    </w:p>
    <w:p w14:paraId="577F4232" w14:textId="6B52E8F6" w:rsidR="00595984" w:rsidRPr="00A95263" w:rsidRDefault="00595984" w:rsidP="00595984">
      <w:pPr>
        <w:snapToGrid w:val="0"/>
        <w:jc w:val="both"/>
        <w:rPr>
          <w:rFonts w:ascii="標楷體" w:eastAsia="標楷體" w:hAnsi="標楷體"/>
          <w:bCs/>
          <w:sz w:val="28"/>
          <w:szCs w:val="28"/>
        </w:rPr>
      </w:pPr>
      <w:r w:rsidRPr="00A95263">
        <w:rPr>
          <w:rFonts w:ascii="標楷體" w:eastAsia="標楷體" w:hAnsi="標楷體" w:hint="eastAsia"/>
          <w:bCs/>
          <w:sz w:val="28"/>
          <w:szCs w:val="28"/>
        </w:rPr>
        <w:t>(二)基金來源、用途及餘</w:t>
      </w:r>
      <w:proofErr w:type="gramStart"/>
      <w:r w:rsidRPr="00A95263">
        <w:rPr>
          <w:rFonts w:ascii="標楷體" w:eastAsia="標楷體" w:hAnsi="標楷體" w:hint="eastAsia"/>
          <w:bCs/>
          <w:sz w:val="28"/>
          <w:szCs w:val="28"/>
        </w:rPr>
        <w:t>絀</w:t>
      </w:r>
      <w:proofErr w:type="gramEnd"/>
      <w:r w:rsidRPr="00A95263">
        <w:rPr>
          <w:rFonts w:ascii="標楷體" w:eastAsia="標楷體" w:hAnsi="標楷體" w:hint="eastAsia"/>
          <w:bCs/>
          <w:sz w:val="28"/>
          <w:szCs w:val="28"/>
        </w:rPr>
        <w:t>：</w:t>
      </w:r>
    </w:p>
    <w:p w14:paraId="481B5573" w14:textId="532944CB" w:rsidR="00595984" w:rsidRPr="00A95263" w:rsidRDefault="00595984" w:rsidP="00595984">
      <w:pPr>
        <w:snapToGrid w:val="0"/>
        <w:ind w:firstLineChars="200" w:firstLine="560"/>
        <w:jc w:val="both"/>
        <w:rPr>
          <w:rFonts w:ascii="標楷體" w:eastAsia="標楷體" w:hAnsi="標楷體"/>
          <w:bCs/>
          <w:sz w:val="28"/>
          <w:szCs w:val="28"/>
        </w:rPr>
      </w:pPr>
      <w:r w:rsidRPr="00A95263">
        <w:rPr>
          <w:rFonts w:ascii="標楷體" w:eastAsia="標楷體" w:hAnsi="標楷體"/>
          <w:bCs/>
          <w:sz w:val="28"/>
          <w:szCs w:val="28"/>
        </w:rPr>
        <w:t>1.</w:t>
      </w:r>
      <w:r w:rsidRPr="00A95263">
        <w:rPr>
          <w:rFonts w:ascii="標楷體" w:eastAsia="標楷體" w:hAnsi="標楷體" w:hint="eastAsia"/>
          <w:bCs/>
          <w:sz w:val="28"/>
          <w:szCs w:val="28"/>
        </w:rPr>
        <w:t>基金來源：</w:t>
      </w:r>
      <w:r w:rsidRPr="00A95263">
        <w:rPr>
          <w:rFonts w:ascii="標楷體" w:eastAsia="標楷體" w:hAnsi="標楷體"/>
          <w:bCs/>
          <w:sz w:val="28"/>
          <w:szCs w:val="28"/>
        </w:rPr>
        <w:t>5</w:t>
      </w:r>
      <w:r w:rsidRPr="00A95263">
        <w:rPr>
          <w:rFonts w:ascii="標楷體" w:eastAsia="標楷體" w:hAnsi="標楷體" w:hint="eastAsia"/>
          <w:bCs/>
          <w:sz w:val="28"/>
          <w:szCs w:val="28"/>
        </w:rPr>
        <w:t>,</w:t>
      </w:r>
      <w:r w:rsidRPr="00A95263">
        <w:rPr>
          <w:rFonts w:ascii="標楷體" w:eastAsia="標楷體" w:hAnsi="標楷體"/>
          <w:bCs/>
          <w:sz w:val="28"/>
          <w:szCs w:val="28"/>
        </w:rPr>
        <w:t>4</w:t>
      </w:r>
      <w:r w:rsidR="003F47DE" w:rsidRPr="00A95263">
        <w:rPr>
          <w:rFonts w:ascii="標楷體" w:eastAsia="標楷體" w:hAnsi="標楷體" w:hint="eastAsia"/>
          <w:bCs/>
          <w:sz w:val="28"/>
          <w:szCs w:val="28"/>
        </w:rPr>
        <w:t>82</w:t>
      </w:r>
      <w:r w:rsidRPr="00A95263">
        <w:rPr>
          <w:rFonts w:ascii="標楷體" w:eastAsia="標楷體" w:hAnsi="標楷體" w:hint="eastAsia"/>
          <w:bCs/>
          <w:sz w:val="28"/>
          <w:szCs w:val="28"/>
        </w:rPr>
        <w:t>萬</w:t>
      </w:r>
      <w:r w:rsidR="003F47DE" w:rsidRPr="00A95263">
        <w:rPr>
          <w:rFonts w:ascii="標楷體" w:eastAsia="標楷體" w:hAnsi="標楷體" w:hint="eastAsia"/>
          <w:bCs/>
          <w:sz w:val="28"/>
          <w:szCs w:val="28"/>
        </w:rPr>
        <w:t>2千</w:t>
      </w:r>
      <w:r w:rsidRPr="00A95263">
        <w:rPr>
          <w:rFonts w:ascii="標楷體" w:eastAsia="標楷體" w:hAnsi="標楷體" w:hint="eastAsia"/>
          <w:bCs/>
          <w:sz w:val="28"/>
          <w:szCs w:val="28"/>
        </w:rPr>
        <w:t>元，</w:t>
      </w:r>
      <w:proofErr w:type="gramStart"/>
      <w:r w:rsidRPr="00A95263">
        <w:rPr>
          <w:rFonts w:ascii="標楷體" w:eastAsia="標楷體" w:hAnsi="標楷體" w:hint="eastAsia"/>
          <w:bCs/>
          <w:sz w:val="28"/>
          <w:szCs w:val="28"/>
        </w:rPr>
        <w:t>照列</w:t>
      </w:r>
      <w:proofErr w:type="gramEnd"/>
      <w:r w:rsidRPr="00A95263">
        <w:rPr>
          <w:rFonts w:ascii="標楷體" w:eastAsia="標楷體" w:hAnsi="標楷體" w:hint="eastAsia"/>
          <w:bCs/>
          <w:sz w:val="28"/>
          <w:szCs w:val="28"/>
        </w:rPr>
        <w:t>。</w:t>
      </w:r>
    </w:p>
    <w:p w14:paraId="5BA9FC16" w14:textId="5B8CE8D2" w:rsidR="00595984" w:rsidRPr="00A95263" w:rsidRDefault="00595984" w:rsidP="00595984">
      <w:pPr>
        <w:snapToGrid w:val="0"/>
        <w:ind w:firstLineChars="200" w:firstLine="560"/>
        <w:jc w:val="both"/>
        <w:rPr>
          <w:rFonts w:ascii="標楷體" w:eastAsia="標楷體" w:hAnsi="標楷體"/>
          <w:bCs/>
          <w:sz w:val="28"/>
          <w:szCs w:val="28"/>
        </w:rPr>
      </w:pPr>
      <w:r w:rsidRPr="00A95263">
        <w:rPr>
          <w:rFonts w:ascii="標楷體" w:eastAsia="標楷體" w:hAnsi="標楷體"/>
          <w:bCs/>
          <w:sz w:val="28"/>
          <w:szCs w:val="28"/>
        </w:rPr>
        <w:lastRenderedPageBreak/>
        <w:t>2.</w:t>
      </w:r>
      <w:r w:rsidRPr="00A95263">
        <w:rPr>
          <w:rFonts w:ascii="標楷體" w:eastAsia="標楷體" w:hAnsi="標楷體" w:hint="eastAsia"/>
          <w:bCs/>
          <w:sz w:val="28"/>
          <w:szCs w:val="28"/>
        </w:rPr>
        <w:t>基金用途：</w:t>
      </w:r>
      <w:r w:rsidRPr="00A95263">
        <w:rPr>
          <w:rFonts w:ascii="標楷體" w:eastAsia="標楷體" w:hAnsi="標楷體"/>
          <w:bCs/>
          <w:sz w:val="28"/>
          <w:szCs w:val="28"/>
        </w:rPr>
        <w:t>6</w:t>
      </w:r>
      <w:r w:rsidRPr="00A95263">
        <w:rPr>
          <w:rFonts w:ascii="標楷體" w:eastAsia="標楷體" w:hAnsi="標楷體" w:hint="eastAsia"/>
          <w:bCs/>
          <w:sz w:val="28"/>
          <w:szCs w:val="28"/>
        </w:rPr>
        <w:t>,</w:t>
      </w:r>
      <w:r w:rsidR="003F47DE" w:rsidRPr="00A95263">
        <w:rPr>
          <w:rFonts w:ascii="標楷體" w:eastAsia="標楷體" w:hAnsi="標楷體" w:hint="eastAsia"/>
          <w:bCs/>
          <w:sz w:val="28"/>
          <w:szCs w:val="28"/>
        </w:rPr>
        <w:t>707</w:t>
      </w:r>
      <w:r w:rsidRPr="00A95263">
        <w:rPr>
          <w:rFonts w:ascii="標楷體" w:eastAsia="標楷體" w:hAnsi="標楷體" w:hint="eastAsia"/>
          <w:bCs/>
          <w:sz w:val="28"/>
          <w:szCs w:val="28"/>
        </w:rPr>
        <w:t>萬</w:t>
      </w:r>
      <w:r w:rsidRPr="00A95263">
        <w:rPr>
          <w:rFonts w:ascii="標楷體" w:eastAsia="標楷體" w:hAnsi="標楷體"/>
          <w:bCs/>
          <w:sz w:val="28"/>
          <w:szCs w:val="28"/>
        </w:rPr>
        <w:t>3</w:t>
      </w:r>
      <w:r w:rsidRPr="00A95263">
        <w:rPr>
          <w:rFonts w:ascii="標楷體" w:eastAsia="標楷體" w:hAnsi="標楷體" w:hint="eastAsia"/>
          <w:bCs/>
          <w:sz w:val="28"/>
          <w:szCs w:val="28"/>
        </w:rPr>
        <w:t>千元，</w:t>
      </w:r>
      <w:proofErr w:type="gramStart"/>
      <w:r w:rsidRPr="00A95263">
        <w:rPr>
          <w:rFonts w:ascii="標楷體" w:eastAsia="標楷體" w:hAnsi="標楷體" w:hint="eastAsia"/>
          <w:bCs/>
          <w:sz w:val="28"/>
          <w:szCs w:val="28"/>
        </w:rPr>
        <w:t>照列</w:t>
      </w:r>
      <w:proofErr w:type="gramEnd"/>
      <w:r w:rsidRPr="00A95263">
        <w:rPr>
          <w:rFonts w:ascii="標楷體" w:eastAsia="標楷體" w:hAnsi="標楷體" w:hint="eastAsia"/>
          <w:bCs/>
          <w:sz w:val="28"/>
          <w:szCs w:val="28"/>
        </w:rPr>
        <w:t>。</w:t>
      </w:r>
    </w:p>
    <w:p w14:paraId="2338B3A2" w14:textId="379A1394" w:rsidR="00595984" w:rsidRPr="00A95263" w:rsidRDefault="00595984" w:rsidP="00595984">
      <w:pPr>
        <w:snapToGrid w:val="0"/>
        <w:ind w:firstLineChars="200" w:firstLine="560"/>
        <w:jc w:val="both"/>
        <w:rPr>
          <w:rFonts w:ascii="標楷體" w:eastAsia="標楷體" w:hAnsi="標楷體"/>
          <w:bCs/>
          <w:sz w:val="28"/>
          <w:szCs w:val="28"/>
        </w:rPr>
      </w:pPr>
      <w:r w:rsidRPr="00A95263">
        <w:rPr>
          <w:rFonts w:ascii="標楷體" w:eastAsia="標楷體" w:hAnsi="標楷體"/>
          <w:bCs/>
          <w:sz w:val="28"/>
          <w:szCs w:val="28"/>
        </w:rPr>
        <w:t>3.</w:t>
      </w:r>
      <w:r w:rsidRPr="00A95263">
        <w:rPr>
          <w:rFonts w:ascii="標楷體" w:eastAsia="標楷體" w:hAnsi="標楷體" w:hint="eastAsia"/>
          <w:bCs/>
          <w:sz w:val="28"/>
          <w:szCs w:val="28"/>
        </w:rPr>
        <w:t>本期短</w:t>
      </w:r>
      <w:proofErr w:type="gramStart"/>
      <w:r w:rsidRPr="00A95263">
        <w:rPr>
          <w:rFonts w:ascii="標楷體" w:eastAsia="標楷體" w:hAnsi="標楷體" w:hint="eastAsia"/>
          <w:bCs/>
          <w:sz w:val="28"/>
          <w:szCs w:val="28"/>
        </w:rPr>
        <w:t>絀</w:t>
      </w:r>
      <w:proofErr w:type="gramEnd"/>
      <w:r w:rsidRPr="00A95263">
        <w:rPr>
          <w:rFonts w:ascii="標楷體" w:eastAsia="標楷體" w:hAnsi="標楷體" w:hint="eastAsia"/>
          <w:bCs/>
          <w:sz w:val="28"/>
          <w:szCs w:val="28"/>
        </w:rPr>
        <w:t>：</w:t>
      </w:r>
      <w:r w:rsidRPr="00A95263">
        <w:rPr>
          <w:rFonts w:ascii="標楷體" w:eastAsia="標楷體" w:hAnsi="標楷體"/>
          <w:bCs/>
          <w:sz w:val="28"/>
          <w:szCs w:val="28"/>
        </w:rPr>
        <w:t>1,</w:t>
      </w:r>
      <w:r w:rsidR="003F47DE" w:rsidRPr="00A95263">
        <w:rPr>
          <w:rFonts w:ascii="標楷體" w:eastAsia="標楷體" w:hAnsi="標楷體" w:hint="eastAsia"/>
          <w:bCs/>
          <w:sz w:val="28"/>
          <w:szCs w:val="28"/>
        </w:rPr>
        <w:t>225</w:t>
      </w:r>
      <w:r w:rsidRPr="00A95263">
        <w:rPr>
          <w:rFonts w:ascii="標楷體" w:eastAsia="標楷體" w:hAnsi="標楷體" w:hint="eastAsia"/>
          <w:bCs/>
          <w:sz w:val="28"/>
          <w:szCs w:val="28"/>
        </w:rPr>
        <w:t>萬</w:t>
      </w:r>
      <w:r w:rsidR="003F47DE" w:rsidRPr="00A95263">
        <w:rPr>
          <w:rFonts w:ascii="標楷體" w:eastAsia="標楷體" w:hAnsi="標楷體" w:hint="eastAsia"/>
          <w:bCs/>
          <w:sz w:val="28"/>
          <w:szCs w:val="28"/>
        </w:rPr>
        <w:t>1</w:t>
      </w:r>
      <w:r w:rsidRPr="00A95263">
        <w:rPr>
          <w:rFonts w:ascii="標楷體" w:eastAsia="標楷體" w:hAnsi="標楷體" w:hint="eastAsia"/>
          <w:bCs/>
          <w:sz w:val="28"/>
          <w:szCs w:val="28"/>
        </w:rPr>
        <w:t>千元，</w:t>
      </w:r>
      <w:proofErr w:type="gramStart"/>
      <w:r w:rsidRPr="00A95263">
        <w:rPr>
          <w:rFonts w:ascii="標楷體" w:eastAsia="標楷體" w:hAnsi="標楷體" w:hint="eastAsia"/>
          <w:bCs/>
          <w:sz w:val="28"/>
          <w:szCs w:val="28"/>
        </w:rPr>
        <w:t>照列</w:t>
      </w:r>
      <w:proofErr w:type="gramEnd"/>
      <w:r w:rsidRPr="00A95263">
        <w:rPr>
          <w:rFonts w:ascii="標楷體" w:eastAsia="標楷體" w:hAnsi="標楷體" w:hint="eastAsia"/>
          <w:bCs/>
          <w:sz w:val="28"/>
          <w:szCs w:val="28"/>
        </w:rPr>
        <w:t>。</w:t>
      </w:r>
    </w:p>
    <w:p w14:paraId="515006F2" w14:textId="77777777" w:rsidR="00595984" w:rsidRPr="00A95263" w:rsidRDefault="00595984" w:rsidP="00595984">
      <w:pPr>
        <w:snapToGrid w:val="0"/>
        <w:jc w:val="both"/>
        <w:rPr>
          <w:rFonts w:ascii="標楷體" w:eastAsia="標楷體" w:hAnsi="標楷體"/>
          <w:bCs/>
          <w:sz w:val="28"/>
          <w:szCs w:val="28"/>
        </w:rPr>
      </w:pPr>
      <w:r w:rsidRPr="00A95263">
        <w:rPr>
          <w:rFonts w:ascii="標楷體" w:eastAsia="標楷體" w:hAnsi="標楷體" w:hint="eastAsia"/>
          <w:bCs/>
          <w:sz w:val="28"/>
          <w:szCs w:val="28"/>
        </w:rPr>
        <w:t>(三)</w:t>
      </w:r>
      <w:proofErr w:type="gramStart"/>
      <w:r w:rsidRPr="00A95263">
        <w:rPr>
          <w:rFonts w:ascii="標楷體" w:eastAsia="標楷體" w:hAnsi="標楷體" w:hint="eastAsia"/>
          <w:bCs/>
          <w:sz w:val="28"/>
          <w:szCs w:val="28"/>
        </w:rPr>
        <w:t>解繳公庫</w:t>
      </w:r>
      <w:proofErr w:type="gramEnd"/>
      <w:r w:rsidRPr="00A95263">
        <w:rPr>
          <w:rFonts w:ascii="標楷體" w:eastAsia="標楷體" w:hAnsi="標楷體" w:hint="eastAsia"/>
          <w:bCs/>
          <w:sz w:val="28"/>
          <w:szCs w:val="28"/>
        </w:rPr>
        <w:t>：</w:t>
      </w:r>
      <w:proofErr w:type="gramStart"/>
      <w:r w:rsidRPr="00A95263">
        <w:rPr>
          <w:rFonts w:ascii="標楷體" w:eastAsia="標楷體" w:hAnsi="標楷體" w:hint="eastAsia"/>
          <w:bCs/>
          <w:sz w:val="28"/>
          <w:szCs w:val="28"/>
        </w:rPr>
        <w:t>無列數</w:t>
      </w:r>
      <w:proofErr w:type="gramEnd"/>
      <w:r w:rsidRPr="00A95263">
        <w:rPr>
          <w:rFonts w:ascii="標楷體" w:eastAsia="標楷體" w:hAnsi="標楷體" w:hint="eastAsia"/>
          <w:bCs/>
          <w:sz w:val="28"/>
          <w:szCs w:val="28"/>
        </w:rPr>
        <w:t>。</w:t>
      </w:r>
    </w:p>
    <w:p w14:paraId="06275B7E" w14:textId="2E052BFC" w:rsidR="00595984" w:rsidRPr="00A95263" w:rsidRDefault="00595984" w:rsidP="00595984">
      <w:pPr>
        <w:snapToGrid w:val="0"/>
        <w:jc w:val="both"/>
        <w:rPr>
          <w:rFonts w:ascii="標楷體" w:eastAsia="標楷體" w:hAnsi="標楷體"/>
          <w:bCs/>
          <w:sz w:val="28"/>
          <w:szCs w:val="28"/>
        </w:rPr>
      </w:pPr>
      <w:r w:rsidRPr="00A95263">
        <w:rPr>
          <w:rFonts w:ascii="標楷體" w:eastAsia="標楷體" w:hAnsi="標楷體" w:hint="eastAsia"/>
          <w:bCs/>
          <w:sz w:val="28"/>
          <w:szCs w:val="28"/>
        </w:rPr>
        <w:t>(四)通過決議</w:t>
      </w:r>
      <w:r w:rsidR="00591E84" w:rsidRPr="00A95263">
        <w:rPr>
          <w:rFonts w:ascii="標楷體" w:eastAsia="標楷體" w:hAnsi="標楷體" w:hint="eastAsia"/>
          <w:bCs/>
          <w:sz w:val="28"/>
          <w:szCs w:val="28"/>
        </w:rPr>
        <w:t>1</w:t>
      </w:r>
      <w:r w:rsidR="00375299">
        <w:rPr>
          <w:rFonts w:ascii="標楷體" w:eastAsia="標楷體" w:hAnsi="標楷體" w:hint="eastAsia"/>
          <w:bCs/>
          <w:sz w:val="28"/>
          <w:szCs w:val="28"/>
        </w:rPr>
        <w:t>6</w:t>
      </w:r>
      <w:r w:rsidRPr="00A95263">
        <w:rPr>
          <w:rFonts w:ascii="標楷體" w:eastAsia="標楷體" w:hAnsi="標楷體" w:hint="eastAsia"/>
          <w:bCs/>
          <w:sz w:val="28"/>
          <w:szCs w:val="28"/>
        </w:rPr>
        <w:t>項：</w:t>
      </w:r>
    </w:p>
    <w:p w14:paraId="567479E7" w14:textId="03EE4506" w:rsidR="00595984" w:rsidRPr="00A95263" w:rsidRDefault="00595984" w:rsidP="00595984">
      <w:pPr>
        <w:snapToGrid w:val="0"/>
        <w:ind w:leftChars="234" w:left="828" w:hangingChars="95" w:hanging="266"/>
        <w:jc w:val="both"/>
        <w:rPr>
          <w:rFonts w:ascii="標楷體" w:eastAsia="標楷體" w:hAnsi="標楷體"/>
          <w:bCs/>
          <w:sz w:val="28"/>
          <w:szCs w:val="28"/>
        </w:rPr>
      </w:pPr>
      <w:r w:rsidRPr="00A95263">
        <w:rPr>
          <w:rFonts w:ascii="標楷體" w:eastAsia="標楷體" w:hAnsi="標楷體" w:hint="eastAsia"/>
          <w:bCs/>
          <w:sz w:val="28"/>
          <w:szCs w:val="28"/>
        </w:rPr>
        <w:t>1.11</w:t>
      </w:r>
      <w:r w:rsidR="00C52866" w:rsidRPr="00A95263">
        <w:rPr>
          <w:rFonts w:ascii="標楷體" w:eastAsia="標楷體" w:hAnsi="標楷體" w:hint="eastAsia"/>
          <w:bCs/>
          <w:sz w:val="28"/>
          <w:szCs w:val="28"/>
        </w:rPr>
        <w:t>5</w:t>
      </w:r>
      <w:r w:rsidRPr="00A95263">
        <w:rPr>
          <w:rFonts w:ascii="標楷體" w:eastAsia="標楷體" w:hAnsi="標楷體" w:hint="eastAsia"/>
          <w:bCs/>
          <w:sz w:val="28"/>
          <w:szCs w:val="28"/>
        </w:rPr>
        <w:t>年度反托拉斯基金預算「數位經濟競爭政策研究及倡議計畫」編列</w:t>
      </w:r>
      <w:r w:rsidR="00CB7EC0" w:rsidRPr="00A95263">
        <w:rPr>
          <w:rFonts w:ascii="標楷體" w:eastAsia="標楷體" w:hAnsi="標楷體" w:hint="eastAsia"/>
          <w:bCs/>
          <w:sz w:val="28"/>
          <w:szCs w:val="28"/>
        </w:rPr>
        <w:t>2</w:t>
      </w:r>
      <w:r w:rsidR="00CB7EC0" w:rsidRPr="00A95263">
        <w:rPr>
          <w:rFonts w:ascii="標楷體" w:eastAsia="標楷體" w:hAnsi="標楷體"/>
          <w:bCs/>
          <w:sz w:val="28"/>
          <w:szCs w:val="28"/>
        </w:rPr>
        <w:t>,</w:t>
      </w:r>
      <w:r w:rsidR="00CB7EC0" w:rsidRPr="00A95263">
        <w:rPr>
          <w:rFonts w:ascii="標楷體" w:eastAsia="標楷體" w:hAnsi="標楷體" w:hint="eastAsia"/>
          <w:bCs/>
          <w:sz w:val="28"/>
          <w:szCs w:val="28"/>
        </w:rPr>
        <w:t>455</w:t>
      </w:r>
      <w:r w:rsidRPr="00A95263">
        <w:rPr>
          <w:rFonts w:ascii="標楷體" w:eastAsia="標楷體" w:hAnsi="標楷體" w:hint="eastAsia"/>
          <w:bCs/>
          <w:sz w:val="28"/>
          <w:szCs w:val="28"/>
        </w:rPr>
        <w:t>萬</w:t>
      </w:r>
      <w:r w:rsidR="00CB7EC0" w:rsidRPr="00A95263">
        <w:rPr>
          <w:rFonts w:ascii="標楷體" w:eastAsia="標楷體" w:hAnsi="標楷體" w:hint="eastAsia"/>
          <w:bCs/>
          <w:sz w:val="28"/>
          <w:szCs w:val="28"/>
        </w:rPr>
        <w:t>2千元</w:t>
      </w:r>
      <w:r w:rsidRPr="00A95263">
        <w:rPr>
          <w:rFonts w:ascii="標楷體" w:eastAsia="標楷體" w:hAnsi="標楷體" w:hint="eastAsia"/>
          <w:bCs/>
          <w:sz w:val="28"/>
          <w:szCs w:val="28"/>
        </w:rPr>
        <w:t>，凍結</w:t>
      </w:r>
      <w:r w:rsidR="00CB7EC0" w:rsidRPr="00A95263">
        <w:rPr>
          <w:rFonts w:ascii="標楷體" w:eastAsia="標楷體" w:hAnsi="標楷體" w:hint="eastAsia"/>
          <w:bCs/>
          <w:sz w:val="28"/>
          <w:szCs w:val="28"/>
        </w:rPr>
        <w:t>1%</w:t>
      </w:r>
      <w:r w:rsidRPr="00A95263">
        <w:rPr>
          <w:rFonts w:ascii="標楷體" w:eastAsia="標楷體" w:hAnsi="標楷體" w:hint="eastAsia"/>
          <w:bCs/>
          <w:sz w:val="28"/>
          <w:szCs w:val="28"/>
        </w:rPr>
        <w:t>，</w:t>
      </w:r>
      <w:proofErr w:type="gramStart"/>
      <w:r w:rsidRPr="00A95263">
        <w:rPr>
          <w:rFonts w:ascii="標楷體" w:eastAsia="標楷體" w:hAnsi="標楷體" w:hint="eastAsia"/>
          <w:bCs/>
          <w:sz w:val="28"/>
          <w:szCs w:val="28"/>
        </w:rPr>
        <w:t>俟</w:t>
      </w:r>
      <w:proofErr w:type="gramEnd"/>
      <w:r w:rsidRPr="00A95263">
        <w:rPr>
          <w:rFonts w:ascii="標楷體" w:eastAsia="標楷體" w:hAnsi="標楷體" w:hint="eastAsia"/>
          <w:bCs/>
          <w:sz w:val="28"/>
          <w:szCs w:val="28"/>
        </w:rPr>
        <w:t>向立法院經濟委員會提出書面報告後，始得動支。【</w:t>
      </w:r>
      <w:r w:rsidR="00CB7EC0" w:rsidRPr="00A95263">
        <w:rPr>
          <w:rFonts w:ascii="標楷體" w:eastAsia="標楷體" w:hAnsi="標楷體" w:hint="eastAsia"/>
          <w:bCs/>
          <w:sz w:val="28"/>
          <w:szCs w:val="28"/>
        </w:rPr>
        <w:t>68</w:t>
      </w:r>
      <w:r w:rsidRPr="00A95263">
        <w:rPr>
          <w:rFonts w:ascii="標楷體" w:eastAsia="標楷體" w:hAnsi="標楷體" w:hint="eastAsia"/>
          <w:bCs/>
          <w:sz w:val="28"/>
          <w:szCs w:val="28"/>
        </w:rPr>
        <w:t>-</w:t>
      </w:r>
      <w:r w:rsidR="00CB7EC0" w:rsidRPr="00A95263">
        <w:rPr>
          <w:rFonts w:ascii="標楷體" w:eastAsia="標楷體" w:hAnsi="標楷體" w:hint="eastAsia"/>
          <w:bCs/>
          <w:sz w:val="28"/>
          <w:szCs w:val="28"/>
        </w:rPr>
        <w:t>69、71</w:t>
      </w:r>
      <w:r w:rsidRPr="00A95263">
        <w:rPr>
          <w:rFonts w:ascii="標楷體" w:eastAsia="標楷體" w:hAnsi="標楷體" w:hint="eastAsia"/>
          <w:bCs/>
          <w:sz w:val="28"/>
          <w:szCs w:val="28"/>
        </w:rPr>
        <w:t>】</w:t>
      </w:r>
    </w:p>
    <w:p w14:paraId="4D7574C6" w14:textId="3DAD145E" w:rsidR="00595984" w:rsidRPr="00A95263" w:rsidRDefault="00595984" w:rsidP="00B15CB9">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提案人：</w:t>
      </w:r>
      <w:r w:rsidR="00CB7EC0" w:rsidRPr="00A95263">
        <w:rPr>
          <w:rFonts w:ascii="標楷體" w:eastAsia="標楷體" w:hAnsi="標楷體" w:hint="eastAsia"/>
          <w:sz w:val="28"/>
          <w:szCs w:val="28"/>
        </w:rPr>
        <w:t>賴瑞隆</w:t>
      </w:r>
      <w:r w:rsidR="00CB7EC0" w:rsidRPr="00A95263">
        <w:rPr>
          <w:rFonts w:ascii="標楷體" w:eastAsia="標楷體" w:hAnsi="標楷體" w:hint="eastAsia"/>
          <w:bCs/>
          <w:sz w:val="28"/>
          <w:szCs w:val="28"/>
        </w:rPr>
        <w:t xml:space="preserve">　</w:t>
      </w:r>
      <w:r w:rsidR="006A1C5F" w:rsidRPr="00A95263">
        <w:rPr>
          <w:rFonts w:ascii="標楷體" w:eastAsia="標楷體" w:hAnsi="標楷體" w:hint="eastAsia"/>
          <w:bCs/>
          <w:sz w:val="28"/>
          <w:szCs w:val="28"/>
        </w:rPr>
        <w:t>陳亭妃　蔡易餘　邱議瑩</w:t>
      </w:r>
      <w:r w:rsidRPr="00A95263">
        <w:rPr>
          <w:rFonts w:ascii="標楷體" w:eastAsia="標楷體" w:hAnsi="標楷體" w:hint="eastAsia"/>
          <w:sz w:val="28"/>
          <w:szCs w:val="28"/>
        </w:rPr>
        <w:t xml:space="preserve">　</w:t>
      </w:r>
      <w:r w:rsidR="006A1C5F" w:rsidRPr="00A95263">
        <w:rPr>
          <w:rFonts w:ascii="標楷體" w:eastAsia="標楷體" w:hAnsi="標楷體" w:hint="eastAsia"/>
          <w:sz w:val="28"/>
          <w:szCs w:val="28"/>
        </w:rPr>
        <w:t xml:space="preserve">楊瓊瓔　</w:t>
      </w:r>
      <w:r w:rsidRPr="00A95263">
        <w:rPr>
          <w:rFonts w:ascii="標楷體" w:eastAsia="標楷體" w:hAnsi="標楷體" w:hint="eastAsia"/>
          <w:sz w:val="28"/>
          <w:szCs w:val="28"/>
        </w:rPr>
        <w:t xml:space="preserve">呂玉玲　</w:t>
      </w:r>
      <w:r w:rsidR="006A1C5F" w:rsidRPr="00A95263">
        <w:rPr>
          <w:rFonts w:ascii="標楷體" w:eastAsia="標楷體" w:hAnsi="標楷體" w:hint="eastAsia"/>
          <w:sz w:val="28"/>
          <w:szCs w:val="28"/>
        </w:rPr>
        <w:t>鄭天財</w:t>
      </w:r>
      <w:r w:rsidRPr="00A95263">
        <w:rPr>
          <w:rFonts w:ascii="標楷體" w:eastAsia="標楷體" w:hAnsi="標楷體" w:hint="eastAsia"/>
          <w:sz w:val="28"/>
          <w:szCs w:val="28"/>
        </w:rPr>
        <w:t xml:space="preserve">　</w:t>
      </w:r>
    </w:p>
    <w:p w14:paraId="2E0DB250" w14:textId="43736DA7" w:rsidR="00595984" w:rsidRPr="00A95263" w:rsidRDefault="00595984" w:rsidP="00B15CB9">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bCs/>
          <w:sz w:val="28"/>
          <w:szCs w:val="28"/>
        </w:rPr>
        <w:t>連署人：</w:t>
      </w:r>
      <w:r w:rsidR="006A1C5F" w:rsidRPr="00A95263">
        <w:rPr>
          <w:rFonts w:ascii="標楷體" w:eastAsia="標楷體" w:hAnsi="標楷體" w:hint="eastAsia"/>
          <w:sz w:val="28"/>
          <w:szCs w:val="28"/>
        </w:rPr>
        <w:t>林岱樺</w:t>
      </w:r>
    </w:p>
    <w:p w14:paraId="20362B09" w14:textId="19BF204D" w:rsidR="00A95263" w:rsidRPr="00A95263" w:rsidRDefault="00A95263" w:rsidP="00A95263">
      <w:pPr>
        <w:pStyle w:val="a3"/>
        <w:numPr>
          <w:ilvl w:val="1"/>
          <w:numId w:val="12"/>
        </w:numPr>
        <w:snapToGrid w:val="0"/>
        <w:ind w:leftChars="0" w:left="851" w:hanging="284"/>
        <w:jc w:val="both"/>
        <w:rPr>
          <w:rFonts w:ascii="標楷體" w:eastAsia="標楷體" w:hAnsi="標楷體"/>
          <w:bCs/>
          <w:sz w:val="28"/>
          <w:szCs w:val="28"/>
        </w:rPr>
      </w:pPr>
      <w:proofErr w:type="gramStart"/>
      <w:r w:rsidRPr="00A95263">
        <w:rPr>
          <w:rFonts w:ascii="標楷體" w:eastAsia="標楷體" w:hAnsi="標楷體" w:hint="eastAsia"/>
          <w:bCs/>
          <w:sz w:val="28"/>
          <w:szCs w:val="28"/>
        </w:rPr>
        <w:t>115</w:t>
      </w:r>
      <w:proofErr w:type="gramEnd"/>
      <w:r w:rsidRPr="00A95263">
        <w:rPr>
          <w:rFonts w:ascii="標楷體" w:eastAsia="標楷體" w:hAnsi="標楷體" w:hint="eastAsia"/>
          <w:bCs/>
          <w:sz w:val="28"/>
          <w:szCs w:val="28"/>
        </w:rPr>
        <w:t>年度反托拉斯基金預算於「檢舉違法聯合行為獎金之支出」編列600萬元。然</w:t>
      </w:r>
      <w:proofErr w:type="gramStart"/>
      <w:r w:rsidRPr="00A95263">
        <w:rPr>
          <w:rFonts w:ascii="標楷體" w:eastAsia="標楷體" w:hAnsi="標楷體" w:hint="eastAsia"/>
          <w:bCs/>
          <w:sz w:val="28"/>
          <w:szCs w:val="28"/>
        </w:rPr>
        <w:t>113</w:t>
      </w:r>
      <w:proofErr w:type="gramEnd"/>
      <w:r w:rsidRPr="00A95263">
        <w:rPr>
          <w:rFonts w:ascii="標楷體" w:eastAsia="標楷體" w:hAnsi="標楷體" w:hint="eastAsia"/>
          <w:bCs/>
          <w:sz w:val="28"/>
          <w:szCs w:val="28"/>
        </w:rPr>
        <w:t>年度實際發放獎金僅112萬元，114年上半年僅發放85萬元，發放金額偏低且不具可預測性。聯合行為具高度隱蔽性，極度仰賴企業內部人</w:t>
      </w:r>
      <w:proofErr w:type="gramStart"/>
      <w:r w:rsidRPr="00A95263">
        <w:rPr>
          <w:rFonts w:ascii="標楷體" w:eastAsia="標楷體" w:hAnsi="標楷體" w:hint="eastAsia"/>
          <w:bCs/>
          <w:sz w:val="28"/>
          <w:szCs w:val="28"/>
        </w:rPr>
        <w:t>吹哨。爰</w:t>
      </w:r>
      <w:proofErr w:type="gramEnd"/>
      <w:r w:rsidRPr="00A95263">
        <w:rPr>
          <w:rFonts w:ascii="標楷體" w:eastAsia="標楷體" w:hAnsi="標楷體" w:hint="eastAsia"/>
          <w:bCs/>
          <w:sz w:val="28"/>
          <w:szCs w:val="28"/>
        </w:rPr>
        <w:t>請公平交易</w:t>
      </w:r>
      <w:r w:rsidR="00CE0518">
        <w:rPr>
          <w:rFonts w:ascii="標楷體" w:eastAsia="標楷體" w:hAnsi="標楷體" w:hint="eastAsia"/>
          <w:bCs/>
          <w:sz w:val="28"/>
          <w:szCs w:val="28"/>
        </w:rPr>
        <w:t>委員</w:t>
      </w:r>
      <w:r w:rsidRPr="00A95263">
        <w:rPr>
          <w:rFonts w:ascii="標楷體" w:eastAsia="標楷體" w:hAnsi="標楷體" w:hint="eastAsia"/>
          <w:bCs/>
          <w:sz w:val="28"/>
          <w:szCs w:val="28"/>
        </w:rPr>
        <w:t>會</w:t>
      </w:r>
      <w:proofErr w:type="gramStart"/>
      <w:r w:rsidRPr="00A95263">
        <w:rPr>
          <w:rFonts w:ascii="標楷體" w:eastAsia="標楷體" w:hAnsi="標楷體" w:hint="eastAsia"/>
          <w:bCs/>
          <w:sz w:val="28"/>
          <w:szCs w:val="28"/>
        </w:rPr>
        <w:t>研</w:t>
      </w:r>
      <w:proofErr w:type="gramEnd"/>
      <w:r w:rsidRPr="00A95263">
        <w:rPr>
          <w:rFonts w:ascii="標楷體" w:eastAsia="標楷體" w:hAnsi="標楷體" w:hint="eastAsia"/>
          <w:bCs/>
          <w:sz w:val="28"/>
          <w:szCs w:val="28"/>
        </w:rPr>
        <w:t>議如何透過調整舉證門檻、提高初期獎金比例，或配合企業內部寬恕政策（Leniency Program）之宣導，實質提高檢舉誘因，並於3個月內向立法院經濟委員會提出書面報告。【</w:t>
      </w:r>
      <w:r w:rsidRPr="00A95263">
        <w:rPr>
          <w:rFonts w:ascii="標楷體" w:eastAsia="標楷體" w:hAnsi="標楷體"/>
          <w:bCs/>
          <w:sz w:val="28"/>
          <w:szCs w:val="28"/>
        </w:rPr>
        <w:t>75</w:t>
      </w:r>
      <w:r w:rsidRPr="00A95263">
        <w:rPr>
          <w:rFonts w:ascii="標楷體" w:eastAsia="標楷體" w:hAnsi="標楷體" w:hint="eastAsia"/>
          <w:bCs/>
          <w:sz w:val="28"/>
          <w:szCs w:val="28"/>
        </w:rPr>
        <w:t>】</w:t>
      </w:r>
    </w:p>
    <w:p w14:paraId="591DC37F"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提案人：陳超明</w:t>
      </w:r>
    </w:p>
    <w:p w14:paraId="65E1C70F"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連署人：鄭天財　呂玉玲</w:t>
      </w:r>
    </w:p>
    <w:p w14:paraId="219E882E" w14:textId="352D7ED4" w:rsidR="00A95263" w:rsidRPr="00A95263" w:rsidRDefault="00A95263" w:rsidP="00A95263">
      <w:pPr>
        <w:pStyle w:val="a3"/>
        <w:numPr>
          <w:ilvl w:val="1"/>
          <w:numId w:val="12"/>
        </w:numPr>
        <w:snapToGrid w:val="0"/>
        <w:ind w:leftChars="0" w:left="851" w:hanging="284"/>
        <w:jc w:val="both"/>
        <w:rPr>
          <w:rFonts w:ascii="標楷體" w:eastAsia="標楷體" w:hAnsi="標楷體" w:cstheme="minorBidi"/>
          <w:sz w:val="28"/>
          <w:szCs w:val="28"/>
        </w:rPr>
      </w:pPr>
      <w:proofErr w:type="gramStart"/>
      <w:r w:rsidRPr="00A95263">
        <w:rPr>
          <w:rFonts w:ascii="標楷體" w:eastAsia="標楷體" w:hAnsi="標楷體"/>
          <w:bCs/>
          <w:sz w:val="28"/>
          <w:szCs w:val="28"/>
        </w:rPr>
        <w:t>115</w:t>
      </w:r>
      <w:proofErr w:type="gramEnd"/>
      <w:r w:rsidRPr="00A95263">
        <w:rPr>
          <w:rFonts w:ascii="標楷體" w:eastAsia="標楷體" w:hAnsi="標楷體" w:hint="eastAsia"/>
          <w:bCs/>
          <w:sz w:val="28"/>
          <w:szCs w:val="28"/>
        </w:rPr>
        <w:t>年度反托拉斯基金預算於「強化反托拉斯執法計畫」編列</w:t>
      </w:r>
      <w:r w:rsidRPr="00A95263">
        <w:rPr>
          <w:rFonts w:ascii="標楷體" w:eastAsia="標楷體" w:hAnsi="標楷體"/>
          <w:bCs/>
          <w:sz w:val="28"/>
          <w:szCs w:val="28"/>
        </w:rPr>
        <w:t>4,252</w:t>
      </w:r>
      <w:r w:rsidRPr="00A95263">
        <w:rPr>
          <w:rFonts w:ascii="標楷體" w:eastAsia="標楷體" w:hAnsi="標楷體" w:hint="eastAsia"/>
          <w:bCs/>
          <w:sz w:val="28"/>
          <w:szCs w:val="28"/>
        </w:rPr>
        <w:t>萬</w:t>
      </w:r>
      <w:r w:rsidRPr="00A95263">
        <w:rPr>
          <w:rFonts w:ascii="標楷體" w:eastAsia="標楷體" w:hAnsi="標楷體"/>
          <w:bCs/>
          <w:sz w:val="28"/>
          <w:szCs w:val="28"/>
        </w:rPr>
        <w:t>1</w:t>
      </w:r>
      <w:r w:rsidRPr="00A95263">
        <w:rPr>
          <w:rFonts w:ascii="標楷體" w:eastAsia="標楷體" w:hAnsi="標楷體" w:hint="eastAsia"/>
          <w:bCs/>
          <w:sz w:val="28"/>
          <w:szCs w:val="28"/>
        </w:rPr>
        <w:t>千元，辦理檢舉違法聯合行為獎金之支出、推動國際競爭法執法機關之合作調查及交流事項、競爭法相關資料庫之建置及維護等業務。為推廣反托拉斯案件之檢舉奬金等資訊，反托拉斯基金於「強化反托拉斯執法計畫」項下編列「媒體政策及業務宣導費」，於各種媒體管道或工商團體刊物等進行檢舉聯合行為之宣導，</w:t>
      </w:r>
      <w:r w:rsidRPr="00A95263">
        <w:rPr>
          <w:rFonts w:ascii="標楷體" w:eastAsia="標楷體" w:hAnsi="標楷體"/>
          <w:bCs/>
          <w:sz w:val="28"/>
          <w:szCs w:val="28"/>
        </w:rPr>
        <w:t>115</w:t>
      </w:r>
      <w:r w:rsidRPr="00A95263">
        <w:rPr>
          <w:rFonts w:ascii="標楷體" w:eastAsia="標楷體" w:hAnsi="標楷體" w:hint="eastAsia"/>
          <w:bCs/>
          <w:sz w:val="28"/>
          <w:szCs w:val="28"/>
        </w:rPr>
        <w:t>年度預算數共計</w:t>
      </w:r>
      <w:r w:rsidRPr="00A95263">
        <w:rPr>
          <w:rFonts w:ascii="標楷體" w:eastAsia="標楷體" w:hAnsi="標楷體"/>
          <w:bCs/>
          <w:sz w:val="28"/>
          <w:szCs w:val="28"/>
        </w:rPr>
        <w:t>140</w:t>
      </w:r>
      <w:r w:rsidRPr="00A95263">
        <w:rPr>
          <w:rFonts w:ascii="標楷體" w:eastAsia="標楷體" w:hAnsi="標楷體" w:hint="eastAsia"/>
          <w:bCs/>
          <w:sz w:val="28"/>
          <w:szCs w:val="28"/>
        </w:rPr>
        <w:t>萬元。由於近年檢舉違法聯合行為之案件數已增加，考量聯合行為之型態與時俱進，事業採取規避措施愈發多元，執法機關舉證困難度提高，若能使檢舉制度發揮效益，即可降低執法成本。</w:t>
      </w:r>
      <w:proofErr w:type="gramStart"/>
      <w:r w:rsidRPr="00A95263">
        <w:rPr>
          <w:rFonts w:ascii="標楷體" w:eastAsia="標楷體" w:hAnsi="標楷體" w:hint="eastAsia"/>
          <w:bCs/>
          <w:sz w:val="28"/>
          <w:szCs w:val="28"/>
        </w:rPr>
        <w:t>爰</w:t>
      </w:r>
      <w:proofErr w:type="gramEnd"/>
      <w:r w:rsidRPr="00A95263">
        <w:rPr>
          <w:rFonts w:ascii="標楷體" w:eastAsia="標楷體" w:hAnsi="標楷體" w:hint="eastAsia"/>
          <w:bCs/>
          <w:sz w:val="28"/>
          <w:szCs w:val="28"/>
        </w:rPr>
        <w:t>要求公平交易委員會應妥善利用是項預算，持續積極為檢舉聯合行為之宣導，並</w:t>
      </w:r>
      <w:r w:rsidR="001A7D1F">
        <w:rPr>
          <w:rFonts w:ascii="標楷體" w:eastAsia="標楷體" w:hAnsi="標楷體" w:hint="eastAsia"/>
          <w:bCs/>
          <w:sz w:val="28"/>
          <w:szCs w:val="28"/>
        </w:rPr>
        <w:t>儘</w:t>
      </w:r>
      <w:r w:rsidRPr="00A95263">
        <w:rPr>
          <w:rFonts w:ascii="標楷體" w:eastAsia="標楷體" w:hAnsi="標楷體" w:hint="eastAsia"/>
          <w:bCs/>
          <w:sz w:val="28"/>
          <w:szCs w:val="28"/>
        </w:rPr>
        <w:t>速修正檢舉違法行為獎金發放辦法，</w:t>
      </w:r>
      <w:proofErr w:type="gramStart"/>
      <w:r w:rsidRPr="00A95263">
        <w:rPr>
          <w:rFonts w:ascii="標楷體" w:eastAsia="標楷體" w:hAnsi="標楷體" w:hint="eastAsia"/>
          <w:bCs/>
          <w:sz w:val="28"/>
          <w:szCs w:val="28"/>
        </w:rPr>
        <w:t>俾</w:t>
      </w:r>
      <w:proofErr w:type="gramEnd"/>
      <w:r w:rsidRPr="00A95263">
        <w:rPr>
          <w:rFonts w:ascii="標楷體" w:eastAsia="標楷體" w:hAnsi="標楷體" w:cstheme="minorBidi" w:hint="eastAsia"/>
          <w:sz w:val="28"/>
          <w:szCs w:val="28"/>
        </w:rPr>
        <w:t>利大眾主動瞭解及協助執法，維持市場競爭秩序。【</w:t>
      </w:r>
      <w:r w:rsidRPr="00A95263">
        <w:rPr>
          <w:rFonts w:ascii="標楷體" w:eastAsia="標楷體" w:hAnsi="標楷體" w:cstheme="minorBidi"/>
          <w:sz w:val="28"/>
          <w:szCs w:val="28"/>
        </w:rPr>
        <w:t>76</w:t>
      </w:r>
      <w:r w:rsidRPr="00A95263">
        <w:rPr>
          <w:rFonts w:ascii="標楷體" w:eastAsia="標楷體" w:hAnsi="標楷體" w:cstheme="minorBidi" w:hint="eastAsia"/>
          <w:sz w:val="28"/>
          <w:szCs w:val="28"/>
        </w:rPr>
        <w:t>】</w:t>
      </w:r>
    </w:p>
    <w:p w14:paraId="59DB1E9B"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提案人：鄭天財　呂玉玲　鄭正鈐</w:t>
      </w:r>
    </w:p>
    <w:p w14:paraId="46320E9A" w14:textId="13FEA990" w:rsidR="00A95263" w:rsidRPr="00A95263" w:rsidRDefault="00A95263" w:rsidP="00A95263">
      <w:pPr>
        <w:pStyle w:val="a3"/>
        <w:numPr>
          <w:ilvl w:val="1"/>
          <w:numId w:val="12"/>
        </w:numPr>
        <w:snapToGrid w:val="0"/>
        <w:ind w:leftChars="0" w:left="851" w:hanging="284"/>
        <w:jc w:val="both"/>
        <w:rPr>
          <w:rFonts w:ascii="標楷體" w:eastAsia="標楷體" w:hAnsi="標楷體"/>
          <w:bCs/>
          <w:sz w:val="28"/>
          <w:szCs w:val="28"/>
        </w:rPr>
      </w:pPr>
      <w:proofErr w:type="gramStart"/>
      <w:r w:rsidRPr="00A95263">
        <w:rPr>
          <w:rFonts w:ascii="標楷體" w:eastAsia="標楷體" w:hAnsi="標楷體" w:hint="eastAsia"/>
          <w:bCs/>
          <w:sz w:val="28"/>
          <w:szCs w:val="28"/>
        </w:rPr>
        <w:t>鑑</w:t>
      </w:r>
      <w:proofErr w:type="gramEnd"/>
      <w:r w:rsidRPr="00A95263">
        <w:rPr>
          <w:rFonts w:ascii="標楷體" w:eastAsia="標楷體" w:hAnsi="標楷體" w:hint="eastAsia"/>
          <w:bCs/>
          <w:sz w:val="28"/>
          <w:szCs w:val="28"/>
        </w:rPr>
        <w:t>於網路不實廣告及不動產業違反「公平交易法」規定之案件仍多，加以近年因國際地緣政治影響原物料供應，導致民生物價大幅波動，民眾苦不堪言，但政府總以「未發現明顯的聯合哄抬或聯合拒絕供貨等違法聯合行為」為由結案，與民眾感受落差甚大，公平交易委員會應持續精進「強化反托拉斯執法計畫」，積</w:t>
      </w:r>
      <w:r w:rsidR="001A7D1F">
        <w:rPr>
          <w:rFonts w:ascii="標楷體" w:eastAsia="標楷體" w:hAnsi="標楷體" w:hint="eastAsia"/>
          <w:bCs/>
          <w:sz w:val="28"/>
          <w:szCs w:val="28"/>
        </w:rPr>
        <w:t>極</w:t>
      </w:r>
      <w:r w:rsidRPr="00A95263">
        <w:rPr>
          <w:rFonts w:ascii="標楷體" w:eastAsia="標楷體" w:hAnsi="標楷體" w:hint="eastAsia"/>
          <w:bCs/>
          <w:sz w:val="28"/>
          <w:szCs w:val="28"/>
        </w:rPr>
        <w:t>謀求改善之道以降低相關不法行為，並對「聯合行為」之認定與時俱進。【</w:t>
      </w:r>
      <w:r w:rsidRPr="00A95263">
        <w:rPr>
          <w:rFonts w:ascii="標楷體" w:eastAsia="標楷體" w:hAnsi="標楷體"/>
          <w:bCs/>
          <w:sz w:val="28"/>
          <w:szCs w:val="28"/>
        </w:rPr>
        <w:t>77</w:t>
      </w:r>
      <w:r w:rsidRPr="00A95263">
        <w:rPr>
          <w:rFonts w:ascii="標楷體" w:eastAsia="標楷體" w:hAnsi="標楷體" w:hint="eastAsia"/>
          <w:bCs/>
          <w:sz w:val="28"/>
          <w:szCs w:val="28"/>
        </w:rPr>
        <w:t>】</w:t>
      </w:r>
    </w:p>
    <w:p w14:paraId="0967122D"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提案人：張嘉郡　楊瓊瓔　呂玉玲　鄭正鈐</w:t>
      </w:r>
    </w:p>
    <w:p w14:paraId="5230EEDC" w14:textId="638B389F" w:rsidR="00A95263" w:rsidRPr="00A95263" w:rsidRDefault="00A95263" w:rsidP="00A95263">
      <w:pPr>
        <w:pStyle w:val="a3"/>
        <w:numPr>
          <w:ilvl w:val="1"/>
          <w:numId w:val="12"/>
        </w:numPr>
        <w:snapToGrid w:val="0"/>
        <w:ind w:leftChars="0" w:left="851" w:hanging="284"/>
        <w:jc w:val="both"/>
        <w:rPr>
          <w:rFonts w:ascii="標楷體" w:eastAsia="標楷體" w:hAnsi="標楷體"/>
          <w:bCs/>
          <w:sz w:val="28"/>
          <w:szCs w:val="28"/>
        </w:rPr>
      </w:pPr>
      <w:r w:rsidRPr="00A95263">
        <w:rPr>
          <w:rFonts w:ascii="標楷體" w:eastAsia="標楷體" w:hAnsi="標楷體" w:hint="eastAsia"/>
          <w:bCs/>
          <w:sz w:val="28"/>
          <w:szCs w:val="28"/>
        </w:rPr>
        <w:lastRenderedPageBreak/>
        <w:t>為有效遏止及查處不法之聯合行為，</w:t>
      </w:r>
      <w:proofErr w:type="gramStart"/>
      <w:r w:rsidRPr="00A95263">
        <w:rPr>
          <w:rFonts w:ascii="標楷體" w:eastAsia="標楷體" w:hAnsi="標楷體" w:hint="eastAsia"/>
          <w:bCs/>
          <w:sz w:val="28"/>
          <w:szCs w:val="28"/>
        </w:rPr>
        <w:t>115</w:t>
      </w:r>
      <w:proofErr w:type="gramEnd"/>
      <w:r w:rsidRPr="00A95263">
        <w:rPr>
          <w:rFonts w:ascii="標楷體" w:eastAsia="標楷體" w:hAnsi="標楷體" w:hint="eastAsia"/>
          <w:bCs/>
          <w:sz w:val="28"/>
          <w:szCs w:val="28"/>
        </w:rPr>
        <w:t>年度反托拉斯基金預算於「強化反托拉斯執法計畫」編列檢舉獎金600萬元，</w:t>
      </w:r>
      <w:proofErr w:type="gramStart"/>
      <w:r w:rsidRPr="00A95263">
        <w:rPr>
          <w:rFonts w:ascii="標楷體" w:eastAsia="標楷體" w:hAnsi="標楷體" w:hint="eastAsia"/>
          <w:bCs/>
          <w:sz w:val="28"/>
          <w:szCs w:val="28"/>
        </w:rPr>
        <w:t>鑑</w:t>
      </w:r>
      <w:proofErr w:type="gramEnd"/>
      <w:r w:rsidRPr="00A95263">
        <w:rPr>
          <w:rFonts w:ascii="標楷體" w:eastAsia="標楷體" w:hAnsi="標楷體" w:hint="eastAsia"/>
          <w:bCs/>
          <w:sz w:val="28"/>
          <w:szCs w:val="28"/>
        </w:rPr>
        <w:t>於聯合行為之關鍵事證難以取得，為提高執法單位查處效率，應積極對外推廣;又公平交易委員會擬檢討修正</w:t>
      </w:r>
      <w:r w:rsidR="001A7D1F">
        <w:rPr>
          <w:rFonts w:ascii="標楷體" w:eastAsia="標楷體" w:hAnsi="標楷體" w:hint="eastAsia"/>
          <w:bCs/>
          <w:sz w:val="28"/>
          <w:szCs w:val="28"/>
        </w:rPr>
        <w:t>「</w:t>
      </w:r>
      <w:r w:rsidRPr="00A95263">
        <w:rPr>
          <w:rFonts w:ascii="標楷體" w:eastAsia="標楷體" w:hAnsi="標楷體" w:hint="eastAsia"/>
          <w:bCs/>
          <w:sz w:val="28"/>
          <w:szCs w:val="28"/>
        </w:rPr>
        <w:t>檢舉違法聯合行為獎金發放辦法</w:t>
      </w:r>
      <w:r w:rsidR="001A7D1F">
        <w:rPr>
          <w:rFonts w:ascii="標楷體" w:eastAsia="標楷體" w:hAnsi="標楷體" w:hint="eastAsia"/>
          <w:bCs/>
          <w:sz w:val="28"/>
          <w:szCs w:val="28"/>
        </w:rPr>
        <w:t>」</w:t>
      </w:r>
      <w:r w:rsidRPr="00A95263">
        <w:rPr>
          <w:rFonts w:ascii="標楷體" w:eastAsia="標楷體" w:hAnsi="標楷體" w:hint="eastAsia"/>
          <w:bCs/>
          <w:sz w:val="28"/>
          <w:szCs w:val="28"/>
        </w:rPr>
        <w:t>，為利後續大眾瞭解及遵循，應於修訂後加強宣導。【</w:t>
      </w:r>
      <w:r w:rsidRPr="00A95263">
        <w:rPr>
          <w:rFonts w:ascii="標楷體" w:eastAsia="標楷體" w:hAnsi="標楷體"/>
          <w:bCs/>
          <w:sz w:val="28"/>
          <w:szCs w:val="28"/>
        </w:rPr>
        <w:t>78</w:t>
      </w:r>
      <w:r w:rsidRPr="00A95263">
        <w:rPr>
          <w:rFonts w:ascii="標楷體" w:eastAsia="標楷體" w:hAnsi="標楷體" w:hint="eastAsia"/>
          <w:bCs/>
          <w:sz w:val="28"/>
          <w:szCs w:val="28"/>
        </w:rPr>
        <w:t>】</w:t>
      </w:r>
    </w:p>
    <w:p w14:paraId="3A4855B3"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提案人：謝衣鳯　鄭天財　鄭正鈐</w:t>
      </w:r>
    </w:p>
    <w:p w14:paraId="040C7D76" w14:textId="6F0810C3" w:rsidR="00A95263" w:rsidRPr="00A95263" w:rsidRDefault="00A95263" w:rsidP="00A95263">
      <w:pPr>
        <w:pStyle w:val="a3"/>
        <w:numPr>
          <w:ilvl w:val="1"/>
          <w:numId w:val="12"/>
        </w:numPr>
        <w:snapToGrid w:val="0"/>
        <w:ind w:leftChars="0" w:left="851" w:hanging="284"/>
        <w:jc w:val="both"/>
        <w:rPr>
          <w:rFonts w:ascii="標楷體" w:eastAsia="標楷體" w:hAnsi="標楷體"/>
          <w:bCs/>
          <w:sz w:val="28"/>
          <w:szCs w:val="28"/>
        </w:rPr>
      </w:pPr>
      <w:proofErr w:type="gramStart"/>
      <w:r w:rsidRPr="00A95263">
        <w:rPr>
          <w:rFonts w:ascii="標楷體" w:eastAsia="標楷體" w:hAnsi="標楷體" w:hint="eastAsia"/>
          <w:bCs/>
          <w:sz w:val="28"/>
          <w:szCs w:val="28"/>
        </w:rPr>
        <w:t>115</w:t>
      </w:r>
      <w:proofErr w:type="gramEnd"/>
      <w:r w:rsidRPr="00A95263">
        <w:rPr>
          <w:rFonts w:ascii="標楷體" w:eastAsia="標楷體" w:hAnsi="標楷體" w:hint="eastAsia"/>
          <w:bCs/>
          <w:sz w:val="28"/>
          <w:szCs w:val="28"/>
        </w:rPr>
        <w:t>年度反托拉斯基金預算於「基金來源」編列5,482萬2千元、「基金用途」編列6,707萬3千元，基金來源及用途相抵後預計短</w:t>
      </w:r>
      <w:proofErr w:type="gramStart"/>
      <w:r w:rsidRPr="00A95263">
        <w:rPr>
          <w:rFonts w:ascii="標楷體" w:eastAsia="標楷體" w:hAnsi="標楷體" w:hint="eastAsia"/>
          <w:bCs/>
          <w:sz w:val="28"/>
          <w:szCs w:val="28"/>
        </w:rPr>
        <w:t>絀</w:t>
      </w:r>
      <w:proofErr w:type="gramEnd"/>
      <w:r w:rsidRPr="00A95263">
        <w:rPr>
          <w:rFonts w:ascii="標楷體" w:eastAsia="標楷體" w:hAnsi="標楷體" w:hint="eastAsia"/>
          <w:bCs/>
          <w:sz w:val="28"/>
          <w:szCs w:val="28"/>
        </w:rPr>
        <w:t>1,225萬1千元，較</w:t>
      </w:r>
      <w:proofErr w:type="gramStart"/>
      <w:r w:rsidRPr="00A95263">
        <w:rPr>
          <w:rFonts w:ascii="標楷體" w:eastAsia="標楷體" w:hAnsi="標楷體" w:hint="eastAsia"/>
          <w:bCs/>
          <w:sz w:val="28"/>
          <w:szCs w:val="28"/>
        </w:rPr>
        <w:t>114</w:t>
      </w:r>
      <w:proofErr w:type="gramEnd"/>
      <w:r w:rsidRPr="00A95263">
        <w:rPr>
          <w:rFonts w:ascii="標楷體" w:eastAsia="標楷體" w:hAnsi="標楷體" w:hint="eastAsia"/>
          <w:bCs/>
          <w:sz w:val="28"/>
          <w:szCs w:val="28"/>
        </w:rPr>
        <w:t>年度預算短</w:t>
      </w:r>
      <w:proofErr w:type="gramStart"/>
      <w:r w:rsidRPr="00A95263">
        <w:rPr>
          <w:rFonts w:ascii="標楷體" w:eastAsia="標楷體" w:hAnsi="標楷體" w:hint="eastAsia"/>
          <w:bCs/>
          <w:sz w:val="28"/>
          <w:szCs w:val="28"/>
        </w:rPr>
        <w:t>絀</w:t>
      </w:r>
      <w:proofErr w:type="gramEnd"/>
      <w:r w:rsidRPr="00A95263">
        <w:rPr>
          <w:rFonts w:ascii="標楷體" w:eastAsia="標楷體" w:hAnsi="標楷體" w:hint="eastAsia"/>
          <w:bCs/>
          <w:sz w:val="28"/>
          <w:szCs w:val="28"/>
        </w:rPr>
        <w:t>減少107萬2千元（減幅8.05%）。查近年來，反托拉斯基金之財務狀況呈現連年短</w:t>
      </w:r>
      <w:proofErr w:type="gramStart"/>
      <w:r w:rsidRPr="00A95263">
        <w:rPr>
          <w:rFonts w:ascii="標楷體" w:eastAsia="標楷體" w:hAnsi="標楷體" w:hint="eastAsia"/>
          <w:bCs/>
          <w:sz w:val="28"/>
          <w:szCs w:val="28"/>
        </w:rPr>
        <w:t>絀</w:t>
      </w:r>
      <w:proofErr w:type="gramEnd"/>
      <w:r w:rsidRPr="00A95263">
        <w:rPr>
          <w:rFonts w:ascii="標楷體" w:eastAsia="標楷體" w:hAnsi="標楷體" w:hint="eastAsia"/>
          <w:bCs/>
          <w:sz w:val="28"/>
          <w:szCs w:val="28"/>
        </w:rPr>
        <w:t>，基金餘額持續減少。依據預算資料，111年底基金餘額尚有9億4,310萬元，預計至115年底將降至8億4,375萬元，顯示基金入不敷出情形日益嚴峻。</w:t>
      </w:r>
      <w:proofErr w:type="gramStart"/>
      <w:r w:rsidRPr="00A95263">
        <w:rPr>
          <w:rFonts w:ascii="標楷體" w:eastAsia="標楷體" w:hAnsi="標楷體" w:hint="eastAsia"/>
          <w:bCs/>
          <w:sz w:val="28"/>
          <w:szCs w:val="28"/>
        </w:rPr>
        <w:t>此外，</w:t>
      </w:r>
      <w:proofErr w:type="gramEnd"/>
      <w:r w:rsidRPr="00A95263">
        <w:rPr>
          <w:rFonts w:ascii="標楷體" w:eastAsia="標楷體" w:hAnsi="標楷體" w:hint="eastAsia"/>
          <w:bCs/>
          <w:sz w:val="28"/>
          <w:szCs w:val="28"/>
        </w:rPr>
        <w:t>該基金擁有8億餘元之閒置資金，卻僅消極配置於銀行存款，雖因升息導致利息收入略增，但整體資金運用效益仍有精進空間。依據「反托拉斯基金收支保管及運用辦法」，基金之運用應注重收益性及安全性，面對基金規模逐年萎縮之警訊，公平交易委員會除應落實開源節流措施外，亦應秉持財務管理精神，妥善規劃閒置資金之配置，以提升運用效益，避免基金規模持續縮減影響未來反托拉斯執法量能。</w:t>
      </w:r>
      <w:proofErr w:type="gramStart"/>
      <w:r w:rsidRPr="00A95263">
        <w:rPr>
          <w:rFonts w:ascii="標楷體" w:eastAsia="標楷體" w:hAnsi="標楷體" w:hint="eastAsia"/>
          <w:bCs/>
          <w:sz w:val="28"/>
          <w:szCs w:val="28"/>
        </w:rPr>
        <w:t>爰</w:t>
      </w:r>
      <w:proofErr w:type="gramEnd"/>
      <w:r w:rsidRPr="00A95263">
        <w:rPr>
          <w:rFonts w:ascii="標楷體" w:eastAsia="標楷體" w:hAnsi="標楷體" w:hint="eastAsia"/>
          <w:bCs/>
          <w:sz w:val="28"/>
          <w:szCs w:val="28"/>
        </w:rPr>
        <w:t>請公平交易委員會於1個月內向立法院經濟委員會提出書面報告。【</w:t>
      </w:r>
      <w:r w:rsidRPr="00A95263">
        <w:rPr>
          <w:rFonts w:ascii="標楷體" w:eastAsia="標楷體" w:hAnsi="標楷體"/>
          <w:bCs/>
          <w:sz w:val="28"/>
          <w:szCs w:val="28"/>
        </w:rPr>
        <w:t>61</w:t>
      </w:r>
      <w:r w:rsidRPr="00A95263">
        <w:rPr>
          <w:rFonts w:ascii="標楷體" w:eastAsia="標楷體" w:hAnsi="標楷體" w:hint="eastAsia"/>
          <w:bCs/>
          <w:sz w:val="28"/>
          <w:szCs w:val="28"/>
        </w:rPr>
        <w:t>】</w:t>
      </w:r>
    </w:p>
    <w:p w14:paraId="6E35CBA4"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提案人：邱志偉</w:t>
      </w:r>
    </w:p>
    <w:p w14:paraId="20D24020"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連署人：邱議瑩　賴瑞隆</w:t>
      </w:r>
    </w:p>
    <w:p w14:paraId="3CF2D4AE" w14:textId="56EE78B6" w:rsidR="00A95263" w:rsidRPr="00A95263" w:rsidRDefault="00A95263" w:rsidP="00A95263">
      <w:pPr>
        <w:pStyle w:val="a3"/>
        <w:numPr>
          <w:ilvl w:val="1"/>
          <w:numId w:val="12"/>
        </w:numPr>
        <w:snapToGrid w:val="0"/>
        <w:ind w:leftChars="0" w:left="851" w:hanging="284"/>
        <w:jc w:val="both"/>
        <w:rPr>
          <w:rFonts w:ascii="標楷體" w:eastAsia="標楷體" w:hAnsi="標楷體"/>
          <w:bCs/>
          <w:sz w:val="28"/>
          <w:szCs w:val="28"/>
        </w:rPr>
      </w:pPr>
      <w:proofErr w:type="gramStart"/>
      <w:r w:rsidRPr="00A95263">
        <w:rPr>
          <w:rFonts w:ascii="標楷體" w:eastAsia="標楷體" w:hAnsi="標楷體" w:hint="eastAsia"/>
          <w:bCs/>
          <w:sz w:val="28"/>
          <w:szCs w:val="28"/>
        </w:rPr>
        <w:t>115</w:t>
      </w:r>
      <w:proofErr w:type="gramEnd"/>
      <w:r w:rsidRPr="00A95263">
        <w:rPr>
          <w:rFonts w:ascii="標楷體" w:eastAsia="標楷體" w:hAnsi="標楷體" w:hint="eastAsia"/>
          <w:bCs/>
          <w:sz w:val="28"/>
          <w:szCs w:val="28"/>
        </w:rPr>
        <w:t>年度反托拉斯基金預算於「強化反托拉斯執法計畫」編列4</w:t>
      </w:r>
      <w:r w:rsidRPr="00A95263">
        <w:rPr>
          <w:rFonts w:ascii="標楷體" w:eastAsia="標楷體" w:hAnsi="標楷體"/>
          <w:bCs/>
          <w:sz w:val="28"/>
          <w:szCs w:val="28"/>
        </w:rPr>
        <w:t>,</w:t>
      </w:r>
      <w:r w:rsidRPr="00A95263">
        <w:rPr>
          <w:rFonts w:ascii="標楷體" w:eastAsia="標楷體" w:hAnsi="標楷體" w:hint="eastAsia"/>
          <w:bCs/>
          <w:sz w:val="28"/>
          <w:szCs w:val="28"/>
        </w:rPr>
        <w:t>252萬1千元，較</w:t>
      </w:r>
      <w:proofErr w:type="gramStart"/>
      <w:r w:rsidRPr="00A95263">
        <w:rPr>
          <w:rFonts w:ascii="標楷體" w:eastAsia="標楷體" w:hAnsi="標楷體" w:hint="eastAsia"/>
          <w:bCs/>
          <w:sz w:val="28"/>
          <w:szCs w:val="28"/>
        </w:rPr>
        <w:t>114</w:t>
      </w:r>
      <w:proofErr w:type="gramEnd"/>
      <w:r w:rsidRPr="00A95263">
        <w:rPr>
          <w:rFonts w:ascii="標楷體" w:eastAsia="標楷體" w:hAnsi="標楷體" w:hint="eastAsia"/>
          <w:bCs/>
          <w:sz w:val="28"/>
          <w:szCs w:val="28"/>
        </w:rPr>
        <w:t>年度減少179萬6千元，主要辦理檢舉違法聯合行為獎金之支出、推動國際競爭法執法機關之合作調查及交流事項、競爭法相關資料庫之建置及維護等業務。</w:t>
      </w:r>
      <w:proofErr w:type="gramStart"/>
      <w:r w:rsidRPr="00A95263">
        <w:rPr>
          <w:rFonts w:ascii="標楷體" w:eastAsia="標楷體" w:hAnsi="標楷體" w:hint="eastAsia"/>
          <w:bCs/>
          <w:sz w:val="28"/>
          <w:szCs w:val="28"/>
        </w:rPr>
        <w:t>惟查</w:t>
      </w:r>
      <w:proofErr w:type="gramEnd"/>
      <w:r w:rsidRPr="00A95263">
        <w:rPr>
          <w:rFonts w:ascii="標楷體" w:eastAsia="標楷體" w:hAnsi="標楷體" w:hint="eastAsia"/>
          <w:bCs/>
          <w:sz w:val="28"/>
          <w:szCs w:val="28"/>
        </w:rPr>
        <w:t>，該計畫</w:t>
      </w:r>
      <w:proofErr w:type="gramStart"/>
      <w:r w:rsidRPr="00A95263">
        <w:rPr>
          <w:rFonts w:ascii="標楷體" w:eastAsia="標楷體" w:hAnsi="標楷體" w:hint="eastAsia"/>
          <w:bCs/>
          <w:sz w:val="28"/>
          <w:szCs w:val="28"/>
        </w:rPr>
        <w:t>113</w:t>
      </w:r>
      <w:proofErr w:type="gramEnd"/>
      <w:r w:rsidRPr="00A95263">
        <w:rPr>
          <w:rFonts w:ascii="標楷體" w:eastAsia="標楷體" w:hAnsi="標楷體" w:hint="eastAsia"/>
          <w:bCs/>
          <w:sz w:val="28"/>
          <w:szCs w:val="28"/>
        </w:rPr>
        <w:t>年度決算數3,662萬8千元，執行率僅75%。主要係因該會調查認定聯合行為違法案件符合「檢舉違法聯合行為獎金發放辦法」發放標準，故依法發放所致。檢舉獎金額度取決於查處案件所科罰鍰數額，難以於預算編</w:t>
      </w:r>
      <w:r w:rsidR="001A7D1F">
        <w:rPr>
          <w:rFonts w:ascii="標楷體" w:eastAsia="標楷體" w:hAnsi="標楷體" w:hint="eastAsia"/>
          <w:bCs/>
          <w:sz w:val="28"/>
          <w:szCs w:val="28"/>
        </w:rPr>
        <w:t>列</w:t>
      </w:r>
      <w:r w:rsidRPr="00A95263">
        <w:rPr>
          <w:rFonts w:ascii="標楷體" w:eastAsia="標楷體" w:hAnsi="標楷體" w:hint="eastAsia"/>
          <w:bCs/>
          <w:sz w:val="28"/>
          <w:szCs w:val="28"/>
        </w:rPr>
        <w:t>時精</w:t>
      </w:r>
      <w:proofErr w:type="gramStart"/>
      <w:r w:rsidRPr="00A95263">
        <w:rPr>
          <w:rFonts w:ascii="標楷體" w:eastAsia="標楷體" w:hAnsi="標楷體" w:hint="eastAsia"/>
          <w:bCs/>
          <w:sz w:val="28"/>
          <w:szCs w:val="28"/>
        </w:rPr>
        <w:t>準</w:t>
      </w:r>
      <w:proofErr w:type="gramEnd"/>
      <w:r w:rsidRPr="00A95263">
        <w:rPr>
          <w:rFonts w:ascii="標楷體" w:eastAsia="標楷體" w:hAnsi="標楷體" w:hint="eastAsia"/>
          <w:bCs/>
          <w:sz w:val="28"/>
          <w:szCs w:val="28"/>
        </w:rPr>
        <w:t>預估。</w:t>
      </w:r>
      <w:proofErr w:type="gramStart"/>
      <w:r w:rsidRPr="00A95263">
        <w:rPr>
          <w:rFonts w:ascii="標楷體" w:eastAsia="標楷體" w:hAnsi="標楷體" w:hint="eastAsia"/>
          <w:bCs/>
          <w:sz w:val="28"/>
          <w:szCs w:val="28"/>
        </w:rPr>
        <w:t>惟查</w:t>
      </w:r>
      <w:proofErr w:type="gramEnd"/>
      <w:r w:rsidRPr="00A95263">
        <w:rPr>
          <w:rFonts w:ascii="標楷體" w:eastAsia="標楷體" w:hAnsi="標楷體" w:hint="eastAsia"/>
          <w:bCs/>
          <w:sz w:val="28"/>
          <w:szCs w:val="28"/>
        </w:rPr>
        <w:t>，近年多次物價波動，如雞蛋、塑膠袋等民生需求商品，發生明顯波動情形，公平會職責在查察是否有聯合漲價行為，卻始終查無實據，對於聯合行為之解釋亦過度狹隘，將「看有人漲價就跟著漲價」這類不屬於事先合意但卻有共同行動導致物價上揚之行為視為單純市場經濟行為，致在面對此類物價波動情形時，公平會雖參與聯合稽查，卻屢次毫無成果，公平會應思考如何強化作為，以利民生經濟穩定。綜上，</w:t>
      </w:r>
      <w:proofErr w:type="gramStart"/>
      <w:r w:rsidRPr="00A95263">
        <w:rPr>
          <w:rFonts w:ascii="標楷體" w:eastAsia="標楷體" w:hAnsi="標楷體" w:hint="eastAsia"/>
          <w:bCs/>
          <w:sz w:val="28"/>
          <w:szCs w:val="28"/>
        </w:rPr>
        <w:t>爰</w:t>
      </w:r>
      <w:proofErr w:type="gramEnd"/>
      <w:r w:rsidRPr="00A95263">
        <w:rPr>
          <w:rFonts w:ascii="標楷體" w:eastAsia="標楷體" w:hAnsi="標楷體" w:hint="eastAsia"/>
          <w:bCs/>
          <w:sz w:val="28"/>
          <w:szCs w:val="28"/>
        </w:rPr>
        <w:t>要求公平交易委員會就本案所提相關疑義說明改進方案，於1個月內向立法院經濟委員會提出書面報告。【</w:t>
      </w:r>
      <w:r w:rsidRPr="00A95263">
        <w:rPr>
          <w:rFonts w:ascii="標楷體" w:eastAsia="標楷體" w:hAnsi="標楷體"/>
          <w:bCs/>
          <w:sz w:val="28"/>
          <w:szCs w:val="28"/>
        </w:rPr>
        <w:t>62</w:t>
      </w:r>
      <w:r w:rsidRPr="00A95263">
        <w:rPr>
          <w:rFonts w:ascii="標楷體" w:eastAsia="標楷體" w:hAnsi="標楷體" w:hint="eastAsia"/>
          <w:bCs/>
          <w:sz w:val="28"/>
          <w:szCs w:val="28"/>
        </w:rPr>
        <w:t>】</w:t>
      </w:r>
    </w:p>
    <w:p w14:paraId="4AD5F4DF"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提案人：賴瑞隆</w:t>
      </w:r>
    </w:p>
    <w:p w14:paraId="0D1FEACD"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lastRenderedPageBreak/>
        <w:t>連署人：邱議瑩　陳亭</w:t>
      </w:r>
      <w:proofErr w:type="gramStart"/>
      <w:r w:rsidRPr="00A95263">
        <w:rPr>
          <w:rFonts w:ascii="標楷體" w:eastAsia="標楷體" w:hAnsi="標楷體" w:hint="eastAsia"/>
          <w:sz w:val="28"/>
          <w:szCs w:val="28"/>
        </w:rPr>
        <w:t>妃</w:t>
      </w:r>
      <w:proofErr w:type="gramEnd"/>
    </w:p>
    <w:p w14:paraId="1C7F8182" w14:textId="1599D15C" w:rsidR="00A95263" w:rsidRPr="00A95263" w:rsidRDefault="00A95263" w:rsidP="00A95263">
      <w:pPr>
        <w:pStyle w:val="a3"/>
        <w:numPr>
          <w:ilvl w:val="1"/>
          <w:numId w:val="12"/>
        </w:numPr>
        <w:snapToGrid w:val="0"/>
        <w:ind w:leftChars="0" w:left="851" w:hanging="284"/>
        <w:jc w:val="both"/>
        <w:rPr>
          <w:rFonts w:ascii="標楷體" w:eastAsia="標楷體" w:hAnsi="標楷體"/>
          <w:bCs/>
          <w:sz w:val="28"/>
          <w:szCs w:val="28"/>
        </w:rPr>
      </w:pPr>
      <w:proofErr w:type="gramStart"/>
      <w:r w:rsidRPr="00A95263">
        <w:rPr>
          <w:rFonts w:ascii="標楷體" w:eastAsia="標楷體" w:hAnsi="標楷體" w:hint="eastAsia"/>
          <w:bCs/>
          <w:sz w:val="28"/>
          <w:szCs w:val="28"/>
        </w:rPr>
        <w:t>115</w:t>
      </w:r>
      <w:proofErr w:type="gramEnd"/>
      <w:r w:rsidRPr="00A95263">
        <w:rPr>
          <w:rFonts w:ascii="標楷體" w:eastAsia="標楷體" w:hAnsi="標楷體" w:hint="eastAsia"/>
          <w:bCs/>
          <w:sz w:val="28"/>
          <w:szCs w:val="28"/>
        </w:rPr>
        <w:t>年度反托拉斯基金預算於「強化反托拉斯執法計畫」編列4,252萬1千元，較</w:t>
      </w:r>
      <w:proofErr w:type="gramStart"/>
      <w:r w:rsidRPr="00A95263">
        <w:rPr>
          <w:rFonts w:ascii="標楷體" w:eastAsia="標楷體" w:hAnsi="標楷體" w:hint="eastAsia"/>
          <w:bCs/>
          <w:sz w:val="28"/>
          <w:szCs w:val="28"/>
        </w:rPr>
        <w:t>114</w:t>
      </w:r>
      <w:proofErr w:type="gramEnd"/>
      <w:r w:rsidRPr="00A95263">
        <w:rPr>
          <w:rFonts w:ascii="標楷體" w:eastAsia="標楷體" w:hAnsi="標楷體" w:hint="eastAsia"/>
          <w:bCs/>
          <w:sz w:val="28"/>
          <w:szCs w:val="28"/>
        </w:rPr>
        <w:t>年度減少179萬6千元（減幅4.05%），其中包含檢舉違法聯合行為獎金600萬元及媒體宣導費140萬元，惟整體檢舉制度執行成效仍有檢討空間。依資料顯示，110至114年7月底累計檢舉案件達604件，其中涉法案件112件，經查處後實際裁處僅32件，其餘80件未予處分，顯示檢舉案件轉化為實際裁罰之比例偏低，制度效益尚待提升。另同期間已發放檢舉獎金1,131萬元，惟在裁處案件數有限情形下，獎金發放與執法成果間之連動性及誘因設計之有效性，允宜進一步檢討。</w:t>
      </w:r>
      <w:proofErr w:type="gramStart"/>
      <w:r w:rsidRPr="00A95263">
        <w:rPr>
          <w:rFonts w:ascii="標楷體" w:eastAsia="標楷體" w:hAnsi="標楷體" w:hint="eastAsia"/>
          <w:bCs/>
          <w:sz w:val="28"/>
          <w:szCs w:val="28"/>
        </w:rPr>
        <w:t>再者，</w:t>
      </w:r>
      <w:proofErr w:type="gramEnd"/>
      <w:r w:rsidRPr="00A95263">
        <w:rPr>
          <w:rFonts w:ascii="標楷體" w:eastAsia="標楷體" w:hAnsi="標楷體" w:hint="eastAsia"/>
          <w:bCs/>
          <w:sz w:val="28"/>
          <w:szCs w:val="28"/>
        </w:rPr>
        <w:t>反托拉斯基金歷年投入媒體政策及業務宣導費介於146萬7千元至348萬6千元間，</w:t>
      </w:r>
      <w:proofErr w:type="gramStart"/>
      <w:r w:rsidRPr="00A95263">
        <w:rPr>
          <w:rFonts w:ascii="標楷體" w:eastAsia="標楷體" w:hAnsi="標楷體" w:hint="eastAsia"/>
          <w:bCs/>
          <w:sz w:val="28"/>
          <w:szCs w:val="28"/>
        </w:rPr>
        <w:t>115</w:t>
      </w:r>
      <w:proofErr w:type="gramEnd"/>
      <w:r w:rsidRPr="00A95263">
        <w:rPr>
          <w:rFonts w:ascii="標楷體" w:eastAsia="標楷體" w:hAnsi="標楷體" w:hint="eastAsia"/>
          <w:bCs/>
          <w:sz w:val="28"/>
          <w:szCs w:val="28"/>
        </w:rPr>
        <w:t>年度編列140萬元，然相關宣導是否有效提升民眾對檢舉制度之認知及檢舉品質，尚缺具體成效評估指標。復查公平會已於114年9月提出檢舉獎金發放辦法修正草案，擬排除以公開資訊提出檢舉者之獎金資格，顯示現行制度設計</w:t>
      </w:r>
      <w:proofErr w:type="gramStart"/>
      <w:r w:rsidRPr="00A95263">
        <w:rPr>
          <w:rFonts w:ascii="標楷體" w:eastAsia="標楷體" w:hAnsi="標楷體" w:hint="eastAsia"/>
          <w:bCs/>
          <w:sz w:val="28"/>
          <w:szCs w:val="28"/>
        </w:rPr>
        <w:t>仍待精進</w:t>
      </w:r>
      <w:proofErr w:type="gramEnd"/>
      <w:r w:rsidRPr="00A95263">
        <w:rPr>
          <w:rFonts w:ascii="標楷體" w:eastAsia="標楷體" w:hAnsi="標楷體" w:hint="eastAsia"/>
          <w:bCs/>
          <w:sz w:val="28"/>
          <w:szCs w:val="28"/>
        </w:rPr>
        <w:t>，並可能影響民眾參與意願。</w:t>
      </w:r>
      <w:proofErr w:type="gramStart"/>
      <w:r w:rsidRPr="00A95263">
        <w:rPr>
          <w:rFonts w:ascii="標楷體" w:eastAsia="標楷體" w:hAnsi="標楷體" w:hint="eastAsia"/>
          <w:bCs/>
          <w:sz w:val="28"/>
          <w:szCs w:val="28"/>
        </w:rPr>
        <w:t>鑑</w:t>
      </w:r>
      <w:proofErr w:type="gramEnd"/>
      <w:r w:rsidRPr="00A95263">
        <w:rPr>
          <w:rFonts w:ascii="標楷體" w:eastAsia="標楷體" w:hAnsi="標楷體" w:hint="eastAsia"/>
          <w:bCs/>
          <w:sz w:val="28"/>
          <w:szCs w:val="28"/>
        </w:rPr>
        <w:t>於聯合行為日趨隱蔽，</w:t>
      </w:r>
      <w:proofErr w:type="gramStart"/>
      <w:r w:rsidRPr="00A95263">
        <w:rPr>
          <w:rFonts w:ascii="標楷體" w:eastAsia="標楷體" w:hAnsi="標楷體" w:hint="eastAsia"/>
          <w:bCs/>
          <w:sz w:val="28"/>
          <w:szCs w:val="28"/>
        </w:rPr>
        <w:t>蒐</w:t>
      </w:r>
      <w:proofErr w:type="gramEnd"/>
      <w:r w:rsidRPr="00A95263">
        <w:rPr>
          <w:rFonts w:ascii="標楷體" w:eastAsia="標楷體" w:hAnsi="標楷體" w:hint="eastAsia"/>
          <w:bCs/>
          <w:sz w:val="28"/>
          <w:szCs w:val="28"/>
        </w:rPr>
        <w:t>證困難度提高，檢舉制度之有效運作更形重要，允宜於相關辦法完成修訂後，強化宣導策略並檢討資源配置，以提升檢舉品質及執法效能，確保反托拉斯基金運用發揮實質效益。</w:t>
      </w:r>
      <w:proofErr w:type="gramStart"/>
      <w:r w:rsidRPr="00A95263">
        <w:rPr>
          <w:rFonts w:ascii="標楷體" w:eastAsia="標楷體" w:hAnsi="標楷體" w:hint="eastAsia"/>
          <w:bCs/>
          <w:sz w:val="28"/>
          <w:szCs w:val="28"/>
        </w:rPr>
        <w:t>爰</w:t>
      </w:r>
      <w:proofErr w:type="gramEnd"/>
      <w:r w:rsidRPr="00A95263">
        <w:rPr>
          <w:rFonts w:ascii="標楷體" w:eastAsia="標楷體" w:hAnsi="標楷體" w:hint="eastAsia"/>
          <w:bCs/>
          <w:sz w:val="28"/>
          <w:szCs w:val="28"/>
        </w:rPr>
        <w:t>請公平交易委員會於1個月內向立法院經濟委員會提出書面報告。【</w:t>
      </w:r>
      <w:r w:rsidRPr="00A95263">
        <w:rPr>
          <w:rFonts w:ascii="標楷體" w:eastAsia="標楷體" w:hAnsi="標楷體"/>
          <w:bCs/>
          <w:sz w:val="28"/>
          <w:szCs w:val="28"/>
        </w:rPr>
        <w:t>63</w:t>
      </w:r>
      <w:r w:rsidRPr="00A95263">
        <w:rPr>
          <w:rFonts w:ascii="標楷體" w:eastAsia="標楷體" w:hAnsi="標楷體" w:hint="eastAsia"/>
          <w:bCs/>
          <w:sz w:val="28"/>
          <w:szCs w:val="28"/>
        </w:rPr>
        <w:t>】</w:t>
      </w:r>
    </w:p>
    <w:p w14:paraId="62981331"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提案人：邱志偉</w:t>
      </w:r>
    </w:p>
    <w:p w14:paraId="7F253D20"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連署人：邱議瑩　賴瑞隆</w:t>
      </w:r>
    </w:p>
    <w:p w14:paraId="52A6FE44" w14:textId="1A399B9D" w:rsidR="00A95263" w:rsidRPr="00A95263" w:rsidRDefault="00A95263" w:rsidP="00A95263">
      <w:pPr>
        <w:pStyle w:val="a3"/>
        <w:numPr>
          <w:ilvl w:val="1"/>
          <w:numId w:val="12"/>
        </w:numPr>
        <w:snapToGrid w:val="0"/>
        <w:ind w:leftChars="0" w:left="851" w:hanging="284"/>
        <w:jc w:val="both"/>
        <w:rPr>
          <w:rFonts w:ascii="標楷體" w:eastAsia="標楷體" w:hAnsi="標楷體"/>
          <w:bCs/>
          <w:sz w:val="28"/>
          <w:szCs w:val="28"/>
        </w:rPr>
      </w:pPr>
      <w:proofErr w:type="gramStart"/>
      <w:r w:rsidRPr="00A95263">
        <w:rPr>
          <w:rFonts w:ascii="標楷體" w:eastAsia="標楷體" w:hAnsi="標楷體" w:hint="eastAsia"/>
          <w:bCs/>
          <w:sz w:val="28"/>
          <w:szCs w:val="28"/>
        </w:rPr>
        <w:t>115</w:t>
      </w:r>
      <w:proofErr w:type="gramEnd"/>
      <w:r w:rsidRPr="00A95263">
        <w:rPr>
          <w:rFonts w:ascii="標楷體" w:eastAsia="標楷體" w:hAnsi="標楷體" w:hint="eastAsia"/>
          <w:bCs/>
          <w:sz w:val="28"/>
          <w:szCs w:val="28"/>
        </w:rPr>
        <w:t>年度反托拉斯基金預算於「強化反托拉斯執法計畫」項下「媒體政策及業務宣導費」編列140萬元。經查，110至114年7月底實際檢舉涉法案件112件中，經查處後僅32件遭處分，不處分比例高達71.4%，顯見現行宣導內容未能引導民眾提供關鍵事證，導致行政資源虛耗於無效檢舉。</w:t>
      </w:r>
      <w:proofErr w:type="gramStart"/>
      <w:r w:rsidRPr="00A95263">
        <w:rPr>
          <w:rFonts w:ascii="標楷體" w:eastAsia="標楷體" w:hAnsi="標楷體" w:hint="eastAsia"/>
          <w:bCs/>
          <w:sz w:val="28"/>
          <w:szCs w:val="28"/>
        </w:rPr>
        <w:t>此外，</w:t>
      </w:r>
      <w:proofErr w:type="gramEnd"/>
      <w:r w:rsidRPr="00A95263">
        <w:rPr>
          <w:rFonts w:ascii="標楷體" w:eastAsia="標楷體" w:hAnsi="標楷體" w:hint="eastAsia"/>
          <w:bCs/>
          <w:sz w:val="28"/>
          <w:szCs w:val="28"/>
        </w:rPr>
        <w:t>公平交易委員會於114年9月擬修法增訂排除「公開資訊檢舉」之獎金發放事由，在誘因</w:t>
      </w:r>
      <w:proofErr w:type="gramStart"/>
      <w:r w:rsidRPr="00A95263">
        <w:rPr>
          <w:rFonts w:ascii="標楷體" w:eastAsia="標楷體" w:hAnsi="標楷體" w:hint="eastAsia"/>
          <w:bCs/>
          <w:sz w:val="28"/>
          <w:szCs w:val="28"/>
        </w:rPr>
        <w:t>受限且現行</w:t>
      </w:r>
      <w:proofErr w:type="gramEnd"/>
      <w:r w:rsidRPr="00A95263">
        <w:rPr>
          <w:rFonts w:ascii="標楷體" w:eastAsia="標楷體" w:hAnsi="標楷體" w:hint="eastAsia"/>
          <w:bCs/>
          <w:sz w:val="28"/>
          <w:szCs w:val="28"/>
        </w:rPr>
        <w:t>宣導多</w:t>
      </w:r>
      <w:proofErr w:type="gramStart"/>
      <w:r w:rsidRPr="00A95263">
        <w:rPr>
          <w:rFonts w:ascii="標楷體" w:eastAsia="標楷體" w:hAnsi="標楷體" w:hint="eastAsia"/>
          <w:bCs/>
          <w:sz w:val="28"/>
          <w:szCs w:val="28"/>
        </w:rPr>
        <w:t>採</w:t>
      </w:r>
      <w:proofErr w:type="gramEnd"/>
      <w:r w:rsidRPr="00A95263">
        <w:rPr>
          <w:rFonts w:ascii="標楷體" w:eastAsia="標楷體" w:hAnsi="標楷體" w:hint="eastAsia"/>
          <w:bCs/>
          <w:sz w:val="28"/>
          <w:szCs w:val="28"/>
        </w:rPr>
        <w:t>電視跑馬燈、單車</w:t>
      </w:r>
      <w:r w:rsidR="001A7D1F">
        <w:rPr>
          <w:rFonts w:ascii="標楷體" w:eastAsia="標楷體" w:hAnsi="標楷體" w:hint="eastAsia"/>
          <w:bCs/>
          <w:sz w:val="28"/>
          <w:szCs w:val="28"/>
        </w:rPr>
        <w:t>擋泥板</w:t>
      </w:r>
      <w:r w:rsidRPr="00A95263">
        <w:rPr>
          <w:rFonts w:ascii="標楷體" w:eastAsia="標楷體" w:hAnsi="標楷體" w:hint="eastAsia"/>
          <w:bCs/>
          <w:sz w:val="28"/>
          <w:szCs w:val="28"/>
        </w:rPr>
        <w:t>等大眾傳播、缺乏精</w:t>
      </w:r>
      <w:proofErr w:type="gramStart"/>
      <w:r w:rsidRPr="00A95263">
        <w:rPr>
          <w:rFonts w:ascii="標楷體" w:eastAsia="標楷體" w:hAnsi="標楷體" w:hint="eastAsia"/>
          <w:bCs/>
          <w:sz w:val="28"/>
          <w:szCs w:val="28"/>
        </w:rPr>
        <w:t>準</w:t>
      </w:r>
      <w:proofErr w:type="gramEnd"/>
      <w:r w:rsidRPr="00A95263">
        <w:rPr>
          <w:rFonts w:ascii="標楷體" w:eastAsia="標楷體" w:hAnsi="標楷體" w:hint="eastAsia"/>
          <w:bCs/>
          <w:sz w:val="28"/>
          <w:szCs w:val="28"/>
        </w:rPr>
        <w:t>投放之情況下，</w:t>
      </w:r>
      <w:proofErr w:type="gramStart"/>
      <w:r w:rsidRPr="00A95263">
        <w:rPr>
          <w:rFonts w:ascii="標楷體" w:eastAsia="標楷體" w:hAnsi="標楷體" w:hint="eastAsia"/>
          <w:bCs/>
          <w:sz w:val="28"/>
          <w:szCs w:val="28"/>
        </w:rPr>
        <w:t>爰</w:t>
      </w:r>
      <w:proofErr w:type="gramEnd"/>
      <w:r w:rsidRPr="00A95263">
        <w:rPr>
          <w:rFonts w:ascii="標楷體" w:eastAsia="標楷體" w:hAnsi="標楷體" w:hint="eastAsia"/>
          <w:bCs/>
          <w:sz w:val="28"/>
          <w:szCs w:val="28"/>
        </w:rPr>
        <w:t>請公平交易委員會加強宣導。【</w:t>
      </w:r>
      <w:r w:rsidRPr="00A95263">
        <w:rPr>
          <w:rFonts w:ascii="標楷體" w:eastAsia="標楷體" w:hAnsi="標楷體"/>
          <w:bCs/>
          <w:sz w:val="28"/>
          <w:szCs w:val="28"/>
        </w:rPr>
        <w:t>65</w:t>
      </w:r>
      <w:r w:rsidRPr="00A95263">
        <w:rPr>
          <w:rFonts w:ascii="標楷體" w:eastAsia="標楷體" w:hAnsi="標楷體" w:hint="eastAsia"/>
          <w:bCs/>
          <w:sz w:val="28"/>
          <w:szCs w:val="28"/>
        </w:rPr>
        <w:t>】</w:t>
      </w:r>
    </w:p>
    <w:p w14:paraId="6B756A77"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提案人：楊瓊瓔　呂玉玲　鄭天財</w:t>
      </w:r>
    </w:p>
    <w:p w14:paraId="1282496D" w14:textId="5446E889" w:rsidR="00A95263" w:rsidRPr="00A95263" w:rsidRDefault="00A95263" w:rsidP="00A95263">
      <w:pPr>
        <w:pStyle w:val="a3"/>
        <w:numPr>
          <w:ilvl w:val="1"/>
          <w:numId w:val="12"/>
        </w:numPr>
        <w:snapToGrid w:val="0"/>
        <w:ind w:leftChars="0" w:left="994" w:hanging="427"/>
        <w:jc w:val="both"/>
        <w:rPr>
          <w:rFonts w:ascii="標楷體" w:eastAsia="標楷體" w:hAnsi="標楷體"/>
          <w:bCs/>
          <w:sz w:val="28"/>
          <w:szCs w:val="28"/>
        </w:rPr>
      </w:pPr>
      <w:r w:rsidRPr="00A95263">
        <w:rPr>
          <w:rFonts w:ascii="標楷體" w:eastAsia="標楷體" w:hAnsi="標楷體" w:hint="eastAsia"/>
          <w:bCs/>
          <w:sz w:val="28"/>
          <w:szCs w:val="28"/>
        </w:rPr>
        <w:t>查109至113年辦理獎助研究生撰寫研究論文</w:t>
      </w:r>
      <w:proofErr w:type="gramStart"/>
      <w:r w:rsidRPr="00A95263">
        <w:rPr>
          <w:rFonts w:ascii="標楷體" w:eastAsia="標楷體" w:hAnsi="標楷體" w:hint="eastAsia"/>
          <w:bCs/>
          <w:sz w:val="28"/>
          <w:szCs w:val="28"/>
        </w:rPr>
        <w:t>審查之篇數</w:t>
      </w:r>
      <w:proofErr w:type="gramEnd"/>
      <w:r w:rsidRPr="00A95263">
        <w:rPr>
          <w:rFonts w:ascii="標楷體" w:eastAsia="標楷體" w:hAnsi="標楷體" w:hint="eastAsia"/>
          <w:bCs/>
          <w:sz w:val="28"/>
          <w:szCs w:val="28"/>
        </w:rPr>
        <w:t>分別為3、3、4、0、3篇，其中112年該篇論文經審查結果未獲獎助，</w:t>
      </w:r>
      <w:proofErr w:type="gramStart"/>
      <w:r w:rsidRPr="00A95263">
        <w:rPr>
          <w:rFonts w:ascii="標楷體" w:eastAsia="標楷體" w:hAnsi="標楷體" w:hint="eastAsia"/>
          <w:bCs/>
          <w:sz w:val="28"/>
          <w:szCs w:val="28"/>
        </w:rPr>
        <w:t>鑑</w:t>
      </w:r>
      <w:proofErr w:type="gramEnd"/>
      <w:r w:rsidRPr="00A95263">
        <w:rPr>
          <w:rFonts w:ascii="標楷體" w:eastAsia="標楷體" w:hAnsi="標楷體" w:hint="eastAsia"/>
          <w:bCs/>
          <w:sz w:val="28"/>
          <w:szCs w:val="28"/>
        </w:rPr>
        <w:t>於歷年通過之申請獎助論文篇數有限，為適應現代數位經濟環境與商業模式變化，公平會仍應加強宣傳，</w:t>
      </w:r>
      <w:proofErr w:type="gramStart"/>
      <w:r w:rsidRPr="00A95263">
        <w:rPr>
          <w:rFonts w:ascii="標楷體" w:eastAsia="標楷體" w:hAnsi="標楷體" w:hint="eastAsia"/>
          <w:bCs/>
          <w:sz w:val="28"/>
          <w:szCs w:val="28"/>
        </w:rPr>
        <w:t>爰</w:t>
      </w:r>
      <w:proofErr w:type="gramEnd"/>
      <w:r w:rsidRPr="00A95263">
        <w:rPr>
          <w:rFonts w:ascii="標楷體" w:eastAsia="標楷體" w:hAnsi="標楷體" w:hint="eastAsia"/>
          <w:bCs/>
          <w:sz w:val="28"/>
          <w:szCs w:val="28"/>
        </w:rPr>
        <w:t>請公平交易委員會提出檢討改進書面報告。【</w:t>
      </w:r>
      <w:r w:rsidRPr="00A95263">
        <w:rPr>
          <w:rFonts w:ascii="標楷體" w:eastAsia="標楷體" w:hAnsi="標楷體"/>
          <w:bCs/>
          <w:sz w:val="28"/>
          <w:szCs w:val="28"/>
        </w:rPr>
        <w:t>66</w:t>
      </w:r>
      <w:r w:rsidRPr="00A95263">
        <w:rPr>
          <w:rFonts w:ascii="標楷體" w:eastAsia="標楷體" w:hAnsi="標楷體" w:hint="eastAsia"/>
          <w:bCs/>
          <w:sz w:val="28"/>
          <w:szCs w:val="28"/>
        </w:rPr>
        <w:t>】</w:t>
      </w:r>
    </w:p>
    <w:p w14:paraId="2B47872E" w14:textId="77777777" w:rsidR="00A95263" w:rsidRPr="00A95263" w:rsidRDefault="00A95263" w:rsidP="00A95263">
      <w:pPr>
        <w:snapToGrid w:val="0"/>
        <w:ind w:leftChars="1500" w:left="4776" w:hangingChars="420" w:hanging="1176"/>
        <w:jc w:val="distribute"/>
        <w:rPr>
          <w:rFonts w:ascii="標楷體" w:eastAsia="標楷體" w:hAnsi="標楷體"/>
          <w:sz w:val="28"/>
          <w:szCs w:val="28"/>
        </w:rPr>
      </w:pPr>
      <w:r w:rsidRPr="00A95263">
        <w:rPr>
          <w:rFonts w:ascii="標楷體" w:eastAsia="標楷體" w:hAnsi="標楷體" w:hint="eastAsia"/>
          <w:sz w:val="28"/>
          <w:szCs w:val="28"/>
        </w:rPr>
        <w:t>提案人：張嘉郡　楊瓊瓔　呂玉玲　鄭正鈐</w:t>
      </w:r>
    </w:p>
    <w:p w14:paraId="7219CC78" w14:textId="3E48051D" w:rsidR="00A95263" w:rsidRPr="00A95263" w:rsidRDefault="00A95263" w:rsidP="00A95263">
      <w:pPr>
        <w:pStyle w:val="a3"/>
        <w:numPr>
          <w:ilvl w:val="1"/>
          <w:numId w:val="12"/>
        </w:numPr>
        <w:snapToGrid w:val="0"/>
        <w:ind w:leftChars="0" w:left="994" w:hanging="427"/>
        <w:jc w:val="both"/>
        <w:rPr>
          <w:rFonts w:ascii="標楷體" w:eastAsia="標楷體" w:hAnsi="標楷體"/>
          <w:bCs/>
          <w:sz w:val="28"/>
          <w:szCs w:val="28"/>
        </w:rPr>
      </w:pPr>
      <w:proofErr w:type="gramStart"/>
      <w:r w:rsidRPr="00A95263">
        <w:rPr>
          <w:rFonts w:ascii="標楷體" w:eastAsia="標楷體" w:hAnsi="標楷體" w:cstheme="minorBidi" w:hint="eastAsia"/>
          <w:sz w:val="28"/>
          <w:szCs w:val="28"/>
        </w:rPr>
        <w:t>115</w:t>
      </w:r>
      <w:proofErr w:type="gramEnd"/>
      <w:r w:rsidRPr="00A95263">
        <w:rPr>
          <w:rFonts w:ascii="標楷體" w:eastAsia="標楷體" w:hAnsi="標楷體" w:cstheme="minorBidi" w:hint="eastAsia"/>
          <w:sz w:val="28"/>
          <w:szCs w:val="28"/>
        </w:rPr>
        <w:t>年度反托拉斯基金預算於「強化反托拉斯執法計畫第13點」</w:t>
      </w:r>
      <w:r w:rsidRPr="00A95263">
        <w:rPr>
          <w:rFonts w:ascii="標楷體" w:eastAsia="標楷體" w:hAnsi="標楷體" w:hint="eastAsia"/>
          <w:bCs/>
          <w:sz w:val="28"/>
          <w:szCs w:val="28"/>
        </w:rPr>
        <w:t>工作計畫編列600萬</w:t>
      </w:r>
      <w:r w:rsidR="00BB1153">
        <w:rPr>
          <w:rFonts w:ascii="標楷體" w:eastAsia="標楷體" w:hAnsi="標楷體" w:hint="eastAsia"/>
          <w:bCs/>
          <w:sz w:val="28"/>
          <w:szCs w:val="28"/>
        </w:rPr>
        <w:t>元</w:t>
      </w:r>
      <w:r w:rsidRPr="00A95263">
        <w:rPr>
          <w:rFonts w:ascii="標楷體" w:eastAsia="標楷體" w:hAnsi="標楷體" w:hint="eastAsia"/>
          <w:bCs/>
          <w:sz w:val="28"/>
          <w:szCs w:val="28"/>
        </w:rPr>
        <w:t>，作為檢舉違法聯合行為之獎金支出。</w:t>
      </w:r>
      <w:proofErr w:type="gramStart"/>
      <w:r w:rsidRPr="00A95263">
        <w:rPr>
          <w:rFonts w:ascii="標楷體" w:eastAsia="標楷體" w:hAnsi="標楷體" w:hint="eastAsia"/>
          <w:bCs/>
          <w:sz w:val="28"/>
          <w:szCs w:val="28"/>
        </w:rPr>
        <w:t>惟</w:t>
      </w:r>
      <w:proofErr w:type="gramEnd"/>
      <w:r w:rsidRPr="00A95263">
        <w:rPr>
          <w:rFonts w:ascii="標楷體" w:eastAsia="標楷體" w:hAnsi="標楷體" w:hint="eastAsia"/>
          <w:bCs/>
          <w:sz w:val="28"/>
          <w:szCs w:val="28"/>
        </w:rPr>
        <w:t>公平</w:t>
      </w:r>
      <w:r w:rsidRPr="00A95263">
        <w:rPr>
          <w:rFonts w:ascii="標楷體" w:eastAsia="標楷體" w:hAnsi="標楷體" w:hint="eastAsia"/>
          <w:bCs/>
          <w:sz w:val="28"/>
          <w:szCs w:val="28"/>
        </w:rPr>
        <w:lastRenderedPageBreak/>
        <w:t>交易委員會於114年9月提出「檢舉違法聯合行為獎金發放辦法」之修正方向，若檢舉人僅依網路、電視、廣播、報章雜誌等公開資訊作為檢舉事由，擬不發放獎金，此舉可能降低民眾檢舉意願，致使公平交易委員會執法效能下降。</w:t>
      </w:r>
      <w:proofErr w:type="gramStart"/>
      <w:r w:rsidRPr="00A95263">
        <w:rPr>
          <w:rFonts w:ascii="標楷體" w:eastAsia="標楷體" w:hAnsi="標楷體" w:hint="eastAsia"/>
          <w:bCs/>
          <w:sz w:val="28"/>
          <w:szCs w:val="28"/>
        </w:rPr>
        <w:t>爰</w:t>
      </w:r>
      <w:proofErr w:type="gramEnd"/>
      <w:r w:rsidRPr="00A95263">
        <w:rPr>
          <w:rFonts w:ascii="標楷體" w:eastAsia="標楷體" w:hAnsi="標楷體" w:hint="eastAsia"/>
          <w:bCs/>
          <w:sz w:val="28"/>
          <w:szCs w:val="28"/>
        </w:rPr>
        <w:t>此，要求公平交易委員會於1個月內向立法院經濟委員會提出書面報告。【</w:t>
      </w:r>
      <w:r w:rsidRPr="00A95263">
        <w:rPr>
          <w:rFonts w:ascii="標楷體" w:eastAsia="標楷體" w:hAnsi="標楷體"/>
          <w:bCs/>
          <w:sz w:val="28"/>
          <w:szCs w:val="28"/>
        </w:rPr>
        <w:t>67</w:t>
      </w:r>
      <w:r w:rsidRPr="00A95263">
        <w:rPr>
          <w:rFonts w:ascii="標楷體" w:eastAsia="標楷體" w:hAnsi="標楷體" w:hint="eastAsia"/>
          <w:bCs/>
          <w:sz w:val="28"/>
          <w:szCs w:val="28"/>
        </w:rPr>
        <w:t>】</w:t>
      </w:r>
    </w:p>
    <w:p w14:paraId="62C612D9"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提案人：呂玉玲　鄭正鈐　鄭天財</w:t>
      </w:r>
    </w:p>
    <w:p w14:paraId="63CE0764" w14:textId="77777777" w:rsidR="00A95263" w:rsidRPr="00A95263" w:rsidRDefault="00A95263" w:rsidP="00A95263">
      <w:pPr>
        <w:pStyle w:val="a3"/>
        <w:numPr>
          <w:ilvl w:val="1"/>
          <w:numId w:val="12"/>
        </w:numPr>
        <w:snapToGrid w:val="0"/>
        <w:ind w:leftChars="0" w:left="994" w:hanging="427"/>
        <w:jc w:val="both"/>
        <w:rPr>
          <w:rFonts w:ascii="標楷體" w:eastAsia="標楷體" w:hAnsi="標楷體"/>
          <w:bCs/>
          <w:sz w:val="28"/>
          <w:szCs w:val="28"/>
        </w:rPr>
      </w:pPr>
      <w:r w:rsidRPr="00A95263">
        <w:rPr>
          <w:rFonts w:ascii="標楷體" w:eastAsia="標楷體" w:hAnsi="標楷體" w:hint="eastAsia"/>
          <w:bCs/>
          <w:sz w:val="28"/>
          <w:szCs w:val="28"/>
        </w:rPr>
        <w:t>公平交易委員會主管反托拉斯基金附屬單位預算於「數位經濟競爭政策研究及倡議計畫」編列2,455萬2千元。</w:t>
      </w:r>
      <w:proofErr w:type="gramStart"/>
      <w:r w:rsidRPr="00A95263">
        <w:rPr>
          <w:rFonts w:ascii="標楷體" w:eastAsia="標楷體" w:hAnsi="標楷體" w:hint="eastAsia"/>
          <w:bCs/>
          <w:sz w:val="28"/>
          <w:szCs w:val="28"/>
        </w:rPr>
        <w:t>115</w:t>
      </w:r>
      <w:proofErr w:type="gramEnd"/>
      <w:r w:rsidRPr="00A95263">
        <w:rPr>
          <w:rFonts w:ascii="標楷體" w:eastAsia="標楷體" w:hAnsi="標楷體" w:hint="eastAsia"/>
          <w:bCs/>
          <w:sz w:val="28"/>
          <w:szCs w:val="28"/>
        </w:rPr>
        <w:t>年度反托拉斯基金編列數位經濟競爭政策研究經費，包括辦理「AI產業供應鏈與其應用之相關競爭議題研究」及數位經濟下創新因素評估等委託研究。面對國外已開始重罰數位平</w:t>
      </w:r>
      <w:proofErr w:type="gramStart"/>
      <w:r w:rsidRPr="00A95263">
        <w:rPr>
          <w:rFonts w:ascii="標楷體" w:eastAsia="標楷體" w:hAnsi="標楷體" w:hint="eastAsia"/>
          <w:bCs/>
          <w:sz w:val="28"/>
          <w:szCs w:val="28"/>
        </w:rPr>
        <w:t>臺</w:t>
      </w:r>
      <w:proofErr w:type="gramEnd"/>
      <w:r w:rsidRPr="00A95263">
        <w:rPr>
          <w:rFonts w:ascii="標楷體" w:eastAsia="標楷體" w:hAnsi="標楷體" w:hint="eastAsia"/>
          <w:bCs/>
          <w:sz w:val="28"/>
          <w:szCs w:val="28"/>
        </w:rPr>
        <w:t>演算法聯合定價及「暗黑模式（Dark Patterns）」欺</w:t>
      </w:r>
      <w:proofErr w:type="gramStart"/>
      <w:r w:rsidRPr="00A95263">
        <w:rPr>
          <w:rFonts w:ascii="標楷體" w:eastAsia="標楷體" w:hAnsi="標楷體" w:hint="eastAsia"/>
          <w:bCs/>
          <w:sz w:val="28"/>
          <w:szCs w:val="28"/>
        </w:rPr>
        <w:t>罔</w:t>
      </w:r>
      <w:proofErr w:type="gramEnd"/>
      <w:r w:rsidRPr="00A95263">
        <w:rPr>
          <w:rFonts w:ascii="標楷體" w:eastAsia="標楷體" w:hAnsi="標楷體" w:hint="eastAsia"/>
          <w:bCs/>
          <w:sz w:val="28"/>
          <w:szCs w:val="28"/>
        </w:rPr>
        <w:t>行為，我國執法進度仍以委託研究為主，實質查處作為尚不顯著，公平交易委員會應具體說明如何將前期委託研究轉化為實質的「執法準則」與查察行動。</w:t>
      </w:r>
      <w:proofErr w:type="gramStart"/>
      <w:r w:rsidRPr="00A95263">
        <w:rPr>
          <w:rFonts w:ascii="標楷體" w:eastAsia="標楷體" w:hAnsi="標楷體" w:hint="eastAsia"/>
          <w:bCs/>
          <w:sz w:val="28"/>
          <w:szCs w:val="28"/>
        </w:rPr>
        <w:t>爰</w:t>
      </w:r>
      <w:proofErr w:type="gramEnd"/>
      <w:r w:rsidRPr="00A95263">
        <w:rPr>
          <w:rFonts w:ascii="標楷體" w:eastAsia="標楷體" w:hAnsi="標楷體" w:hint="eastAsia"/>
          <w:bCs/>
          <w:sz w:val="28"/>
          <w:szCs w:val="28"/>
        </w:rPr>
        <w:t>請公平交易委員會於3個月內向立法院經濟委員會提出書面報告。【</w:t>
      </w:r>
      <w:r w:rsidRPr="00A95263">
        <w:rPr>
          <w:rFonts w:ascii="標楷體" w:eastAsia="標楷體" w:hAnsi="標楷體"/>
          <w:bCs/>
          <w:sz w:val="28"/>
          <w:szCs w:val="28"/>
        </w:rPr>
        <w:t>70</w:t>
      </w:r>
      <w:r w:rsidRPr="00A95263">
        <w:rPr>
          <w:rFonts w:ascii="標楷體" w:eastAsia="標楷體" w:hAnsi="標楷體" w:hint="eastAsia"/>
          <w:bCs/>
          <w:sz w:val="28"/>
          <w:szCs w:val="28"/>
        </w:rPr>
        <w:t>】</w:t>
      </w:r>
    </w:p>
    <w:p w14:paraId="71FE6B21"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提案人：陳超明</w:t>
      </w:r>
    </w:p>
    <w:p w14:paraId="4860CF18"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連署人：鄭天財　呂玉玲</w:t>
      </w:r>
    </w:p>
    <w:p w14:paraId="44F59A2B" w14:textId="77777777" w:rsidR="00A95263" w:rsidRPr="00A95263" w:rsidRDefault="00A95263" w:rsidP="00A95263">
      <w:pPr>
        <w:pStyle w:val="a3"/>
        <w:numPr>
          <w:ilvl w:val="1"/>
          <w:numId w:val="12"/>
        </w:numPr>
        <w:snapToGrid w:val="0"/>
        <w:ind w:leftChars="0" w:left="994" w:hanging="427"/>
        <w:jc w:val="both"/>
        <w:rPr>
          <w:rFonts w:ascii="標楷體" w:eastAsia="標楷體" w:hAnsi="標楷體"/>
          <w:bCs/>
          <w:sz w:val="28"/>
          <w:szCs w:val="28"/>
        </w:rPr>
      </w:pPr>
      <w:r w:rsidRPr="00A95263">
        <w:rPr>
          <w:rFonts w:ascii="標楷體" w:eastAsia="標楷體" w:hAnsi="標楷體" w:hint="eastAsia"/>
          <w:bCs/>
          <w:sz w:val="28"/>
          <w:szCs w:val="28"/>
        </w:rPr>
        <w:t>公平交易委員會於112年底公布「數位經濟競爭政策白皮書」，並提出短、長期作為，由於近年AI技術持續進步，惟預算書揭露各項工作中，對於白皮書「援引資訊技術與人才強化數位執法能力」之建議並未具體呈現，仍以委外為主，</w:t>
      </w:r>
      <w:proofErr w:type="gramStart"/>
      <w:r w:rsidRPr="00A95263">
        <w:rPr>
          <w:rFonts w:ascii="標楷體" w:eastAsia="標楷體" w:hAnsi="標楷體" w:hint="eastAsia"/>
          <w:bCs/>
          <w:sz w:val="28"/>
          <w:szCs w:val="28"/>
        </w:rPr>
        <w:t>爰</w:t>
      </w:r>
      <w:proofErr w:type="gramEnd"/>
      <w:r w:rsidRPr="00A95263">
        <w:rPr>
          <w:rFonts w:ascii="標楷體" w:eastAsia="標楷體" w:hAnsi="標楷體" w:hint="eastAsia"/>
          <w:bCs/>
          <w:sz w:val="28"/>
          <w:szCs w:val="28"/>
        </w:rPr>
        <w:t>請公平交易委員會提出檢討改進書面報告。【</w:t>
      </w:r>
      <w:r w:rsidRPr="00A95263">
        <w:rPr>
          <w:rFonts w:ascii="標楷體" w:eastAsia="標楷體" w:hAnsi="標楷體"/>
          <w:bCs/>
          <w:sz w:val="28"/>
          <w:szCs w:val="28"/>
        </w:rPr>
        <w:t>72</w:t>
      </w:r>
      <w:r w:rsidRPr="00A95263">
        <w:rPr>
          <w:rFonts w:ascii="標楷體" w:eastAsia="標楷體" w:hAnsi="標楷體" w:hint="eastAsia"/>
          <w:bCs/>
          <w:sz w:val="28"/>
          <w:szCs w:val="28"/>
        </w:rPr>
        <w:t>】</w:t>
      </w:r>
    </w:p>
    <w:p w14:paraId="1D284448" w14:textId="77777777" w:rsidR="00A95263" w:rsidRPr="00A95263" w:rsidRDefault="00A95263" w:rsidP="00A95263">
      <w:pPr>
        <w:snapToGrid w:val="0"/>
        <w:ind w:leftChars="1500" w:left="4776" w:hangingChars="420" w:hanging="1176"/>
        <w:jc w:val="distribute"/>
        <w:rPr>
          <w:rFonts w:ascii="標楷體" w:eastAsia="標楷體" w:hAnsi="標楷體"/>
          <w:sz w:val="28"/>
          <w:szCs w:val="28"/>
        </w:rPr>
      </w:pPr>
      <w:r w:rsidRPr="00A95263">
        <w:rPr>
          <w:rFonts w:ascii="標楷體" w:eastAsia="標楷體" w:hAnsi="標楷體" w:hint="eastAsia"/>
          <w:sz w:val="28"/>
          <w:szCs w:val="28"/>
        </w:rPr>
        <w:t>提案人：張嘉郡　楊瓊瓔　呂玉玲　鄭正鈐</w:t>
      </w:r>
    </w:p>
    <w:p w14:paraId="2CD03DC6" w14:textId="62E7CF66" w:rsidR="00A95263" w:rsidRPr="00A95263" w:rsidRDefault="00A95263" w:rsidP="00A95263">
      <w:pPr>
        <w:pStyle w:val="a3"/>
        <w:numPr>
          <w:ilvl w:val="1"/>
          <w:numId w:val="12"/>
        </w:numPr>
        <w:snapToGrid w:val="0"/>
        <w:ind w:leftChars="0" w:left="994" w:hanging="427"/>
        <w:jc w:val="both"/>
        <w:rPr>
          <w:rFonts w:ascii="標楷體" w:eastAsia="標楷體" w:hAnsi="標楷體"/>
          <w:bCs/>
          <w:sz w:val="28"/>
          <w:szCs w:val="28"/>
        </w:rPr>
      </w:pPr>
      <w:proofErr w:type="gramStart"/>
      <w:r w:rsidRPr="00A95263">
        <w:rPr>
          <w:rFonts w:ascii="標楷體" w:eastAsia="標楷體" w:hAnsi="標楷體" w:hint="eastAsia"/>
          <w:bCs/>
          <w:sz w:val="28"/>
          <w:szCs w:val="28"/>
        </w:rPr>
        <w:t>115</w:t>
      </w:r>
      <w:proofErr w:type="gramEnd"/>
      <w:r w:rsidRPr="00A95263">
        <w:rPr>
          <w:rFonts w:ascii="標楷體" w:eastAsia="標楷體" w:hAnsi="標楷體" w:hint="eastAsia"/>
          <w:bCs/>
          <w:sz w:val="28"/>
          <w:szCs w:val="28"/>
        </w:rPr>
        <w:t>年度反托拉斯基金預算於「數位經濟</w:t>
      </w:r>
      <w:r w:rsidR="00BB1153">
        <w:rPr>
          <w:rFonts w:ascii="標楷體" w:eastAsia="標楷體" w:hAnsi="標楷體" w:hint="eastAsia"/>
          <w:bCs/>
          <w:sz w:val="28"/>
          <w:szCs w:val="28"/>
        </w:rPr>
        <w:t>競爭</w:t>
      </w:r>
      <w:r w:rsidRPr="00A95263">
        <w:rPr>
          <w:rFonts w:ascii="標楷體" w:eastAsia="標楷體" w:hAnsi="標楷體" w:hint="eastAsia"/>
          <w:bCs/>
          <w:sz w:val="28"/>
          <w:szCs w:val="28"/>
        </w:rPr>
        <w:t>政策研究及倡議計畫」編列2,455萬2千元，較</w:t>
      </w:r>
      <w:proofErr w:type="gramStart"/>
      <w:r w:rsidRPr="00A95263">
        <w:rPr>
          <w:rFonts w:ascii="標楷體" w:eastAsia="標楷體" w:hAnsi="標楷體" w:hint="eastAsia"/>
          <w:bCs/>
          <w:sz w:val="28"/>
          <w:szCs w:val="28"/>
        </w:rPr>
        <w:t>114</w:t>
      </w:r>
      <w:proofErr w:type="gramEnd"/>
      <w:r w:rsidRPr="00A95263">
        <w:rPr>
          <w:rFonts w:ascii="標楷體" w:eastAsia="標楷體" w:hAnsi="標楷體" w:hint="eastAsia"/>
          <w:bCs/>
          <w:sz w:val="28"/>
          <w:szCs w:val="28"/>
        </w:rPr>
        <w:t>年度預算2,370萬6千元增加84萬</w:t>
      </w:r>
      <w:r w:rsidRPr="00A95263">
        <w:rPr>
          <w:rFonts w:ascii="標楷體" w:eastAsia="標楷體" w:hAnsi="標楷體"/>
          <w:bCs/>
          <w:sz w:val="28"/>
          <w:szCs w:val="28"/>
        </w:rPr>
        <w:t>6千元(增幅3.57%)，主要辦理研究數位經濟產業競爭議題與違法</w:t>
      </w:r>
      <w:proofErr w:type="gramStart"/>
      <w:r w:rsidRPr="00A95263">
        <w:rPr>
          <w:rFonts w:ascii="標楷體" w:eastAsia="標楷體" w:hAnsi="標楷體" w:hint="eastAsia"/>
          <w:bCs/>
          <w:sz w:val="28"/>
          <w:szCs w:val="28"/>
        </w:rPr>
        <w:t>態樣及辦理</w:t>
      </w:r>
      <w:proofErr w:type="gramEnd"/>
      <w:r w:rsidRPr="00A95263">
        <w:rPr>
          <w:rFonts w:ascii="標楷體" w:eastAsia="標楷體" w:hAnsi="標楷體" w:hint="eastAsia"/>
          <w:bCs/>
          <w:sz w:val="28"/>
          <w:szCs w:val="28"/>
        </w:rPr>
        <w:t>不實廣告監控與查察業務等事項。查近年來，不動產業涉及違反「公平交易法」之情形頻仍，且未見顯著改善。統計</w:t>
      </w:r>
      <w:r w:rsidRPr="00A95263">
        <w:rPr>
          <w:rFonts w:ascii="標楷體" w:eastAsia="標楷體" w:hAnsi="標楷體"/>
          <w:bCs/>
          <w:sz w:val="28"/>
          <w:szCs w:val="28"/>
        </w:rPr>
        <w:t>110年至114年7月底，公平會處分不動產業違反公平法案件共59件，其中高達53件涉及虛偽不實或引人錯誤之廣告行為，另有11件涉及欺</w:t>
      </w:r>
      <w:proofErr w:type="gramStart"/>
      <w:r w:rsidRPr="00A95263">
        <w:rPr>
          <w:rFonts w:ascii="標楷體" w:eastAsia="標楷體" w:hAnsi="標楷體" w:hint="eastAsia"/>
          <w:bCs/>
          <w:sz w:val="28"/>
          <w:szCs w:val="28"/>
        </w:rPr>
        <w:t>罔</w:t>
      </w:r>
      <w:proofErr w:type="gramEnd"/>
      <w:r w:rsidRPr="00A95263">
        <w:rPr>
          <w:rFonts w:ascii="標楷體" w:eastAsia="標楷體" w:hAnsi="標楷體" w:hint="eastAsia"/>
          <w:bCs/>
          <w:sz w:val="28"/>
          <w:szCs w:val="28"/>
        </w:rPr>
        <w:t>或顯失公平行為。以</w:t>
      </w:r>
      <w:proofErr w:type="gramStart"/>
      <w:r w:rsidRPr="00A95263">
        <w:rPr>
          <w:rFonts w:ascii="標楷體" w:eastAsia="標楷體" w:hAnsi="標楷體"/>
          <w:bCs/>
          <w:sz w:val="28"/>
          <w:szCs w:val="28"/>
        </w:rPr>
        <w:t>113</w:t>
      </w:r>
      <w:proofErr w:type="gramEnd"/>
      <w:r w:rsidRPr="00A95263">
        <w:rPr>
          <w:rFonts w:ascii="標楷體" w:eastAsia="標楷體" w:hAnsi="標楷體" w:hint="eastAsia"/>
          <w:bCs/>
          <w:sz w:val="28"/>
          <w:szCs w:val="28"/>
        </w:rPr>
        <w:t>年度為例，不動產業在虛偽不實</w:t>
      </w:r>
      <w:proofErr w:type="gramStart"/>
      <w:r w:rsidRPr="00A95263">
        <w:rPr>
          <w:rFonts w:ascii="標楷體" w:eastAsia="標楷體" w:hAnsi="標楷體" w:hint="eastAsia"/>
          <w:bCs/>
          <w:sz w:val="28"/>
          <w:szCs w:val="28"/>
        </w:rPr>
        <w:t>廣告及顯失</w:t>
      </w:r>
      <w:proofErr w:type="gramEnd"/>
      <w:r w:rsidRPr="00A95263">
        <w:rPr>
          <w:rFonts w:ascii="標楷體" w:eastAsia="標楷體" w:hAnsi="標楷體" w:hint="eastAsia"/>
          <w:bCs/>
          <w:sz w:val="28"/>
          <w:szCs w:val="28"/>
        </w:rPr>
        <w:t>公平行為之違規件數占比，</w:t>
      </w:r>
      <w:proofErr w:type="gramStart"/>
      <w:r w:rsidRPr="00A95263">
        <w:rPr>
          <w:rFonts w:ascii="標楷體" w:eastAsia="標楷體" w:hAnsi="標楷體" w:hint="eastAsia"/>
          <w:bCs/>
          <w:sz w:val="28"/>
          <w:szCs w:val="28"/>
        </w:rPr>
        <w:t>均列各</w:t>
      </w:r>
      <w:proofErr w:type="gramEnd"/>
      <w:r w:rsidRPr="00A95263">
        <w:rPr>
          <w:rFonts w:ascii="標楷體" w:eastAsia="標楷體" w:hAnsi="標楷體" w:hint="eastAsia"/>
          <w:bCs/>
          <w:sz w:val="28"/>
          <w:szCs w:val="28"/>
        </w:rPr>
        <w:t>行業前三名。反托拉斯基金雖連年編列預算辦理「網路不實廣告查察計畫」及建案實地訪查，且</w:t>
      </w:r>
      <w:proofErr w:type="gramStart"/>
      <w:r w:rsidRPr="00A95263">
        <w:rPr>
          <w:rFonts w:ascii="標楷體" w:eastAsia="標楷體" w:hAnsi="標楷體"/>
          <w:bCs/>
          <w:sz w:val="28"/>
          <w:szCs w:val="28"/>
        </w:rPr>
        <w:t>115</w:t>
      </w:r>
      <w:proofErr w:type="gramEnd"/>
      <w:r w:rsidRPr="00A95263">
        <w:rPr>
          <w:rFonts w:ascii="標楷體" w:eastAsia="標楷體" w:hAnsi="標楷體" w:hint="eastAsia"/>
          <w:bCs/>
          <w:sz w:val="28"/>
          <w:szCs w:val="28"/>
        </w:rPr>
        <w:t>年度更將預算提高至</w:t>
      </w:r>
      <w:r w:rsidRPr="00A95263">
        <w:rPr>
          <w:rFonts w:ascii="標楷體" w:eastAsia="標楷體" w:hAnsi="標楷體"/>
          <w:bCs/>
          <w:sz w:val="28"/>
          <w:szCs w:val="28"/>
        </w:rPr>
        <w:t>500萬元，然不動產業者違規亂</w:t>
      </w:r>
      <w:proofErr w:type="gramStart"/>
      <w:r w:rsidRPr="00A95263">
        <w:rPr>
          <w:rFonts w:ascii="標楷體" w:eastAsia="標楷體" w:hAnsi="標楷體" w:hint="eastAsia"/>
          <w:bCs/>
          <w:sz w:val="28"/>
          <w:szCs w:val="28"/>
        </w:rPr>
        <w:t>象</w:t>
      </w:r>
      <w:proofErr w:type="gramEnd"/>
      <w:r w:rsidRPr="00A95263">
        <w:rPr>
          <w:rFonts w:ascii="標楷體" w:eastAsia="標楷體" w:hAnsi="標楷體" w:hint="eastAsia"/>
          <w:bCs/>
          <w:sz w:val="28"/>
          <w:szCs w:val="28"/>
        </w:rPr>
        <w:t>依然猖獗。</w:t>
      </w:r>
      <w:proofErr w:type="gramStart"/>
      <w:r w:rsidRPr="00A95263">
        <w:rPr>
          <w:rFonts w:ascii="標楷體" w:eastAsia="標楷體" w:hAnsi="標楷體" w:hint="eastAsia"/>
          <w:bCs/>
          <w:sz w:val="28"/>
          <w:szCs w:val="28"/>
        </w:rPr>
        <w:t>鑑</w:t>
      </w:r>
      <w:proofErr w:type="gramEnd"/>
      <w:r w:rsidRPr="00A95263">
        <w:rPr>
          <w:rFonts w:ascii="標楷體" w:eastAsia="標楷體" w:hAnsi="標楷體" w:hint="eastAsia"/>
          <w:bCs/>
          <w:sz w:val="28"/>
          <w:szCs w:val="28"/>
        </w:rPr>
        <w:t>於不動產交易金額龐大，違法廣告與銷售行為將嚴重損害消費者購屋權益，公平會應檢討現行查察機制之有效性，並加強力道對不動產違法行為之查處力度。</w:t>
      </w:r>
      <w:proofErr w:type="gramStart"/>
      <w:r w:rsidRPr="00A95263">
        <w:rPr>
          <w:rFonts w:ascii="標楷體" w:eastAsia="標楷體" w:hAnsi="標楷體" w:hint="eastAsia"/>
          <w:bCs/>
          <w:sz w:val="28"/>
          <w:szCs w:val="28"/>
        </w:rPr>
        <w:t>爰</w:t>
      </w:r>
      <w:proofErr w:type="gramEnd"/>
      <w:r w:rsidRPr="00A95263">
        <w:rPr>
          <w:rFonts w:ascii="標楷體" w:eastAsia="標楷體" w:hAnsi="標楷體" w:hint="eastAsia"/>
          <w:bCs/>
          <w:sz w:val="28"/>
          <w:szCs w:val="28"/>
        </w:rPr>
        <w:t>請公平交易委員會於1個月內向立法院經濟委員會提出書面報告。【</w:t>
      </w:r>
      <w:r w:rsidRPr="00A95263">
        <w:rPr>
          <w:rFonts w:ascii="標楷體" w:eastAsia="標楷體" w:hAnsi="標楷體"/>
          <w:bCs/>
          <w:sz w:val="28"/>
          <w:szCs w:val="28"/>
        </w:rPr>
        <w:t>73</w:t>
      </w:r>
      <w:r w:rsidRPr="00A95263">
        <w:rPr>
          <w:rFonts w:ascii="標楷體" w:eastAsia="標楷體" w:hAnsi="標楷體" w:hint="eastAsia"/>
          <w:bCs/>
          <w:sz w:val="28"/>
          <w:szCs w:val="28"/>
        </w:rPr>
        <w:t>】</w:t>
      </w:r>
    </w:p>
    <w:p w14:paraId="4BDE9092"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提案人：邱志偉</w:t>
      </w:r>
    </w:p>
    <w:p w14:paraId="345D215C"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lastRenderedPageBreak/>
        <w:t>連署人：邱議瑩　賴瑞隆</w:t>
      </w:r>
    </w:p>
    <w:p w14:paraId="73D5849C" w14:textId="77777777" w:rsidR="00A95263" w:rsidRPr="00A95263" w:rsidRDefault="00A95263" w:rsidP="00A95263">
      <w:pPr>
        <w:pStyle w:val="a3"/>
        <w:numPr>
          <w:ilvl w:val="1"/>
          <w:numId w:val="12"/>
        </w:numPr>
        <w:snapToGrid w:val="0"/>
        <w:ind w:leftChars="0" w:left="994" w:hanging="427"/>
        <w:jc w:val="both"/>
        <w:rPr>
          <w:rFonts w:ascii="標楷體" w:eastAsia="標楷體" w:hAnsi="標楷體"/>
          <w:bCs/>
          <w:sz w:val="28"/>
          <w:szCs w:val="28"/>
        </w:rPr>
      </w:pPr>
      <w:bookmarkStart w:id="22" w:name="_Hlk231485885"/>
      <w:proofErr w:type="gramStart"/>
      <w:r w:rsidRPr="00A95263">
        <w:rPr>
          <w:rFonts w:ascii="標楷體" w:eastAsia="標楷體" w:hAnsi="標楷體" w:hint="eastAsia"/>
          <w:bCs/>
          <w:sz w:val="28"/>
          <w:szCs w:val="28"/>
        </w:rPr>
        <w:t>115</w:t>
      </w:r>
      <w:proofErr w:type="gramEnd"/>
      <w:r w:rsidRPr="00A95263">
        <w:rPr>
          <w:rFonts w:ascii="標楷體" w:eastAsia="標楷體" w:hAnsi="標楷體" w:hint="eastAsia"/>
          <w:bCs/>
          <w:sz w:val="28"/>
          <w:szCs w:val="28"/>
        </w:rPr>
        <w:t>年度反托拉斯基金預算於「數位經濟競爭政策研究及倡議計畫」項下「數位匯流新時代之不實廣告及不動產查察計畫」編列經費500萬元，內容明定包含監控全國性網際網路廣告與「實地訪查建案現場」，對可能涉有違反「公平交易法」之行為進行調查處理。然實務上仍屢生建商(諸如興富發建設、遠雄建設、</w:t>
      </w:r>
      <w:proofErr w:type="gramStart"/>
      <w:r w:rsidRPr="00A95263">
        <w:rPr>
          <w:rFonts w:ascii="標楷體" w:eastAsia="標楷體" w:hAnsi="標楷體" w:hint="eastAsia"/>
          <w:bCs/>
          <w:sz w:val="28"/>
          <w:szCs w:val="28"/>
        </w:rPr>
        <w:t>潤隆建設</w:t>
      </w:r>
      <w:proofErr w:type="gramEnd"/>
      <w:r w:rsidRPr="00A95263">
        <w:rPr>
          <w:rFonts w:ascii="標楷體" w:eastAsia="標楷體" w:hAnsi="標楷體" w:hint="eastAsia"/>
          <w:bCs/>
          <w:sz w:val="28"/>
          <w:szCs w:val="28"/>
        </w:rPr>
        <w:t>、茂德建設、</w:t>
      </w:r>
      <w:proofErr w:type="gramStart"/>
      <w:r w:rsidRPr="00A95263">
        <w:rPr>
          <w:rFonts w:ascii="標楷體" w:eastAsia="標楷體" w:hAnsi="標楷體" w:hint="eastAsia"/>
          <w:bCs/>
          <w:sz w:val="28"/>
          <w:szCs w:val="28"/>
        </w:rPr>
        <w:t>寶佳機構</w:t>
      </w:r>
      <w:proofErr w:type="gramEnd"/>
      <w:r w:rsidRPr="00A95263">
        <w:rPr>
          <w:rFonts w:ascii="標楷體" w:eastAsia="標楷體" w:hAnsi="標楷體" w:hint="eastAsia"/>
          <w:bCs/>
          <w:sz w:val="28"/>
          <w:szCs w:val="28"/>
        </w:rPr>
        <w:t>)將「一般商業區」、「旅館區」或「一般事務所」產品，透過廣告</w:t>
      </w:r>
      <w:proofErr w:type="gramStart"/>
      <w:r w:rsidRPr="00A95263">
        <w:rPr>
          <w:rFonts w:ascii="標楷體" w:eastAsia="標楷體" w:hAnsi="標楷體" w:hint="eastAsia"/>
          <w:bCs/>
          <w:sz w:val="28"/>
          <w:szCs w:val="28"/>
        </w:rPr>
        <w:t>文宣或於</w:t>
      </w:r>
      <w:proofErr w:type="gramEnd"/>
      <w:r w:rsidRPr="00A95263">
        <w:rPr>
          <w:rFonts w:ascii="標楷體" w:eastAsia="標楷體" w:hAnsi="標楷體" w:hint="eastAsia"/>
          <w:bCs/>
          <w:sz w:val="28"/>
          <w:szCs w:val="28"/>
        </w:rPr>
        <w:t>樣品屋內擺設客廳、臥室等居家空間，誤導消費者以為可作合法住宅使用。此類不實廣告嚴重侵害消費者權益。公平交易委員會應就「建商將建案包裝為住宅之不實廣告與樣品屋欺</w:t>
      </w:r>
      <w:proofErr w:type="gramStart"/>
      <w:r w:rsidRPr="00A95263">
        <w:rPr>
          <w:rFonts w:ascii="標楷體" w:eastAsia="標楷體" w:hAnsi="標楷體" w:hint="eastAsia"/>
          <w:bCs/>
          <w:sz w:val="28"/>
          <w:szCs w:val="28"/>
        </w:rPr>
        <w:t>罔</w:t>
      </w:r>
      <w:proofErr w:type="gramEnd"/>
      <w:r w:rsidRPr="00A95263">
        <w:rPr>
          <w:rFonts w:ascii="標楷體" w:eastAsia="標楷體" w:hAnsi="標楷體" w:hint="eastAsia"/>
          <w:bCs/>
          <w:sz w:val="28"/>
          <w:szCs w:val="28"/>
        </w:rPr>
        <w:t>行為」，提出專案查處成效檢討及查處精進作為。</w:t>
      </w:r>
      <w:proofErr w:type="gramStart"/>
      <w:r w:rsidRPr="00A95263">
        <w:rPr>
          <w:rFonts w:ascii="標楷體" w:eastAsia="標楷體" w:hAnsi="標楷體" w:hint="eastAsia"/>
          <w:bCs/>
          <w:sz w:val="28"/>
          <w:szCs w:val="28"/>
        </w:rPr>
        <w:t>爰</w:t>
      </w:r>
      <w:proofErr w:type="gramEnd"/>
      <w:r w:rsidRPr="00A95263">
        <w:rPr>
          <w:rFonts w:ascii="標楷體" w:eastAsia="標楷體" w:hAnsi="標楷體" w:hint="eastAsia"/>
          <w:bCs/>
          <w:sz w:val="28"/>
          <w:szCs w:val="28"/>
        </w:rPr>
        <w:t>請公平交易委員會於3個月內向立法院經濟委員會提出書面報告。【</w:t>
      </w:r>
      <w:r w:rsidRPr="00A95263">
        <w:rPr>
          <w:rFonts w:ascii="標楷體" w:eastAsia="標楷體" w:hAnsi="標楷體"/>
          <w:bCs/>
          <w:sz w:val="28"/>
          <w:szCs w:val="28"/>
        </w:rPr>
        <w:t>74</w:t>
      </w:r>
      <w:r w:rsidRPr="00A95263">
        <w:rPr>
          <w:rFonts w:ascii="標楷體" w:eastAsia="標楷體" w:hAnsi="標楷體" w:hint="eastAsia"/>
          <w:bCs/>
          <w:sz w:val="28"/>
          <w:szCs w:val="28"/>
        </w:rPr>
        <w:t>】</w:t>
      </w:r>
    </w:p>
    <w:p w14:paraId="614D4BBB"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提案人：陳超明</w:t>
      </w:r>
    </w:p>
    <w:p w14:paraId="6D5F36E6" w14:textId="77777777" w:rsidR="00A95263" w:rsidRPr="00A95263" w:rsidRDefault="00A95263" w:rsidP="00A95263">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連署人：鄭天財　呂玉玲</w:t>
      </w:r>
    </w:p>
    <w:bookmarkEnd w:id="22"/>
    <w:p w14:paraId="3E9ABD26" w14:textId="1EB1969B" w:rsidR="00375299" w:rsidRPr="00A95263" w:rsidRDefault="00375299" w:rsidP="00375299">
      <w:pPr>
        <w:pStyle w:val="a3"/>
        <w:numPr>
          <w:ilvl w:val="1"/>
          <w:numId w:val="12"/>
        </w:numPr>
        <w:snapToGrid w:val="0"/>
        <w:ind w:leftChars="0" w:left="994" w:hanging="427"/>
        <w:jc w:val="both"/>
        <w:rPr>
          <w:rFonts w:ascii="標楷體" w:eastAsia="標楷體" w:hAnsi="標楷體"/>
          <w:bCs/>
          <w:sz w:val="28"/>
          <w:szCs w:val="28"/>
        </w:rPr>
      </w:pPr>
      <w:proofErr w:type="gramStart"/>
      <w:r w:rsidRPr="00375299">
        <w:rPr>
          <w:rFonts w:ascii="標楷體" w:eastAsia="標楷體" w:hAnsi="標楷體" w:hint="eastAsia"/>
          <w:bCs/>
          <w:sz w:val="28"/>
          <w:szCs w:val="28"/>
        </w:rPr>
        <w:t>鑑</w:t>
      </w:r>
      <w:proofErr w:type="gramEnd"/>
      <w:r w:rsidRPr="00375299">
        <w:rPr>
          <w:rFonts w:ascii="標楷體" w:eastAsia="標楷體" w:hAnsi="標楷體" w:hint="eastAsia"/>
          <w:bCs/>
          <w:sz w:val="28"/>
          <w:szCs w:val="28"/>
        </w:rPr>
        <w:t>於反托拉斯基金預算長期呈現收支短</w:t>
      </w:r>
      <w:proofErr w:type="gramStart"/>
      <w:r w:rsidRPr="00375299">
        <w:rPr>
          <w:rFonts w:ascii="標楷體" w:eastAsia="標楷體" w:hAnsi="標楷體" w:hint="eastAsia"/>
          <w:bCs/>
          <w:sz w:val="28"/>
          <w:szCs w:val="28"/>
        </w:rPr>
        <w:t>絀</w:t>
      </w:r>
      <w:proofErr w:type="gramEnd"/>
      <w:r w:rsidRPr="00375299">
        <w:rPr>
          <w:rFonts w:ascii="標楷體" w:eastAsia="標楷體" w:hAnsi="標楷體" w:hint="eastAsia"/>
          <w:bCs/>
          <w:sz w:val="28"/>
          <w:szCs w:val="28"/>
        </w:rPr>
        <w:t>，</w:t>
      </w:r>
      <w:proofErr w:type="gramStart"/>
      <w:r w:rsidRPr="00375299">
        <w:rPr>
          <w:rFonts w:ascii="標楷體" w:eastAsia="標楷體" w:hAnsi="標楷體" w:hint="eastAsia"/>
          <w:bCs/>
          <w:sz w:val="28"/>
          <w:szCs w:val="28"/>
        </w:rPr>
        <w:t>112</w:t>
      </w:r>
      <w:proofErr w:type="gramEnd"/>
      <w:r w:rsidRPr="00375299">
        <w:rPr>
          <w:rFonts w:ascii="標楷體" w:eastAsia="標楷體" w:hAnsi="標楷體" w:hint="eastAsia"/>
          <w:bCs/>
          <w:sz w:val="28"/>
          <w:szCs w:val="28"/>
        </w:rPr>
        <w:t>年度決算短</w:t>
      </w:r>
      <w:proofErr w:type="gramStart"/>
      <w:r w:rsidRPr="00375299">
        <w:rPr>
          <w:rFonts w:ascii="標楷體" w:eastAsia="標楷體" w:hAnsi="標楷體" w:hint="eastAsia"/>
          <w:bCs/>
          <w:sz w:val="28"/>
          <w:szCs w:val="28"/>
        </w:rPr>
        <w:t>絀</w:t>
      </w:r>
      <w:proofErr w:type="gramEnd"/>
      <w:r w:rsidRPr="00375299">
        <w:rPr>
          <w:rFonts w:ascii="標楷體" w:eastAsia="標楷體" w:hAnsi="標楷體" w:hint="eastAsia"/>
          <w:bCs/>
          <w:sz w:val="28"/>
          <w:szCs w:val="28"/>
        </w:rPr>
        <w:t>更高達5,596萬9千元。經查，該基金期末餘額已由111年底之9億4,310萬1千元，逐年遞減至113年底之8億6,933萬1千元，預計115年底將進一步降至8億4,375萬7千元，財務狀況持續惡化。然檢視其資金運用配置，高達8億餘元之餘</w:t>
      </w:r>
      <w:proofErr w:type="gramStart"/>
      <w:r w:rsidRPr="00375299">
        <w:rPr>
          <w:rFonts w:ascii="標楷體" w:eastAsia="標楷體" w:hAnsi="標楷體" w:hint="eastAsia"/>
          <w:bCs/>
          <w:sz w:val="28"/>
          <w:szCs w:val="28"/>
        </w:rPr>
        <w:t>裕</w:t>
      </w:r>
      <w:proofErr w:type="gramEnd"/>
      <w:r w:rsidRPr="00375299">
        <w:rPr>
          <w:rFonts w:ascii="標楷體" w:eastAsia="標楷體" w:hAnsi="標楷體" w:hint="eastAsia"/>
          <w:bCs/>
          <w:sz w:val="28"/>
          <w:szCs w:val="28"/>
        </w:rPr>
        <w:t>資金僅單一配置於銀行存款，並未依「反托拉斯基金收支保管及運用辦法」購買政府公債或國庫券，運用效益顯有改善空間。為此，請公平交易委員會秉持財務管理精神，積極</w:t>
      </w:r>
      <w:proofErr w:type="gramStart"/>
      <w:r w:rsidRPr="00375299">
        <w:rPr>
          <w:rFonts w:ascii="標楷體" w:eastAsia="標楷體" w:hAnsi="標楷體" w:hint="eastAsia"/>
          <w:bCs/>
          <w:sz w:val="28"/>
          <w:szCs w:val="28"/>
        </w:rPr>
        <w:t>研</w:t>
      </w:r>
      <w:proofErr w:type="gramEnd"/>
      <w:r w:rsidRPr="00375299">
        <w:rPr>
          <w:rFonts w:ascii="標楷體" w:eastAsia="標楷體" w:hAnsi="標楷體" w:hint="eastAsia"/>
          <w:bCs/>
          <w:sz w:val="28"/>
          <w:szCs w:val="28"/>
        </w:rPr>
        <w:t>謀開源節流措施，並妥適規劃餘裕資金配置以提高運用效益，確保基金財務健全及永續運作。【46】</w:t>
      </w:r>
    </w:p>
    <w:p w14:paraId="5157334B" w14:textId="073DBE85" w:rsidR="00375299" w:rsidRPr="00A95263" w:rsidRDefault="00375299" w:rsidP="00375299">
      <w:pPr>
        <w:snapToGrid w:val="0"/>
        <w:ind w:leftChars="1500" w:left="4776" w:hangingChars="420" w:hanging="1176"/>
        <w:jc w:val="both"/>
        <w:rPr>
          <w:rFonts w:ascii="標楷體" w:eastAsia="標楷體" w:hAnsi="標楷體"/>
          <w:sz w:val="28"/>
          <w:szCs w:val="28"/>
        </w:rPr>
      </w:pPr>
      <w:r w:rsidRPr="00A95263">
        <w:rPr>
          <w:rFonts w:ascii="標楷體" w:eastAsia="標楷體" w:hAnsi="標楷體" w:hint="eastAsia"/>
          <w:sz w:val="28"/>
          <w:szCs w:val="28"/>
        </w:rPr>
        <w:t>提案人：</w:t>
      </w:r>
      <w:r w:rsidRPr="00375299">
        <w:rPr>
          <w:rFonts w:ascii="標楷體" w:eastAsia="標楷體" w:hAnsi="標楷體" w:hint="eastAsia"/>
          <w:bCs/>
          <w:sz w:val="28"/>
          <w:szCs w:val="28"/>
        </w:rPr>
        <w:t>楊瓊瓔　呂玉玲　鄭天財</w:t>
      </w:r>
    </w:p>
    <w:p w14:paraId="43AF3E18" w14:textId="019E1906" w:rsidR="00595984" w:rsidRPr="00A95263" w:rsidRDefault="00595984" w:rsidP="00595984">
      <w:pPr>
        <w:snapToGrid w:val="0"/>
        <w:jc w:val="both"/>
        <w:rPr>
          <w:rFonts w:ascii="標楷體" w:eastAsia="標楷體" w:hAnsi="標楷體"/>
          <w:bCs/>
          <w:sz w:val="28"/>
          <w:szCs w:val="28"/>
        </w:rPr>
      </w:pPr>
      <w:r w:rsidRPr="00A95263">
        <w:rPr>
          <w:rFonts w:ascii="標楷體" w:eastAsia="標楷體" w:hAnsi="標楷體" w:hint="eastAsia"/>
          <w:bCs/>
          <w:sz w:val="28"/>
          <w:szCs w:val="28"/>
        </w:rPr>
        <w:t>主席宣告：本次會議通過之決議，文字授權主席及議事人員整理。</w:t>
      </w:r>
    </w:p>
    <w:p w14:paraId="2B0B8E0C" w14:textId="77777777" w:rsidR="00B15CB9" w:rsidRPr="00A95263" w:rsidRDefault="00B15CB9" w:rsidP="00595984">
      <w:pPr>
        <w:snapToGrid w:val="0"/>
        <w:jc w:val="both"/>
        <w:rPr>
          <w:rFonts w:ascii="標楷體" w:eastAsia="標楷體" w:hAnsi="標楷體"/>
          <w:bCs/>
          <w:sz w:val="28"/>
          <w:szCs w:val="28"/>
        </w:rPr>
      </w:pPr>
    </w:p>
    <w:p w14:paraId="6B1DBCE3" w14:textId="14F82E20" w:rsidR="00595984" w:rsidRPr="00A95263" w:rsidRDefault="00595984" w:rsidP="009B7880">
      <w:pPr>
        <w:snapToGrid w:val="0"/>
        <w:jc w:val="both"/>
        <w:rPr>
          <w:rFonts w:ascii="標楷體" w:eastAsia="標楷體" w:hAnsi="標楷體"/>
          <w:bCs/>
          <w:sz w:val="28"/>
          <w:szCs w:val="28"/>
        </w:rPr>
      </w:pPr>
      <w:r w:rsidRPr="00A95263">
        <w:rPr>
          <w:rFonts w:ascii="標楷體" w:eastAsia="標楷體" w:hAnsi="標楷體"/>
          <w:b/>
          <w:bCs/>
          <w:sz w:val="28"/>
          <w:szCs w:val="28"/>
        </w:rPr>
        <w:t>散會</w:t>
      </w:r>
    </w:p>
    <w:sectPr w:rsidR="00595984" w:rsidRPr="00A95263" w:rsidSect="00FF5432">
      <w:footerReference w:type="default" r:id="rId7"/>
      <w:pgSz w:w="11906" w:h="16838"/>
      <w:pgMar w:top="1134" w:right="1418" w:bottom="1134"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FCD7A" w14:textId="77777777" w:rsidR="003C5E17" w:rsidRDefault="003C5E17" w:rsidP="00546A13">
      <w:r>
        <w:separator/>
      </w:r>
    </w:p>
  </w:endnote>
  <w:endnote w:type="continuationSeparator" w:id="0">
    <w:p w14:paraId="0D18425A" w14:textId="77777777" w:rsidR="003C5E17" w:rsidRDefault="003C5E17" w:rsidP="00546A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1714317"/>
      <w:docPartObj>
        <w:docPartGallery w:val="Page Numbers (Bottom of Page)"/>
        <w:docPartUnique/>
      </w:docPartObj>
    </w:sdtPr>
    <w:sdtEndPr/>
    <w:sdtContent>
      <w:p w14:paraId="77166813" w14:textId="6943AA59" w:rsidR="003E5BCB" w:rsidRDefault="003E5BCB">
        <w:pPr>
          <w:pStyle w:val="a7"/>
          <w:jc w:val="center"/>
        </w:pPr>
        <w:r>
          <w:fldChar w:fldCharType="begin"/>
        </w:r>
        <w:r>
          <w:instrText>PAGE   \* MERGEFORMAT</w:instrText>
        </w:r>
        <w:r>
          <w:fldChar w:fldCharType="separate"/>
        </w:r>
        <w:r>
          <w:rPr>
            <w:lang w:val="zh-TW"/>
          </w:rPr>
          <w:t>2</w:t>
        </w:r>
        <w:r>
          <w:fldChar w:fldCharType="end"/>
        </w:r>
      </w:p>
    </w:sdtContent>
  </w:sdt>
  <w:p w14:paraId="496CF372" w14:textId="77777777" w:rsidR="003E5BCB" w:rsidRDefault="003E5BC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F4E265" w14:textId="77777777" w:rsidR="003C5E17" w:rsidRDefault="003C5E17" w:rsidP="00546A13">
      <w:r>
        <w:separator/>
      </w:r>
    </w:p>
  </w:footnote>
  <w:footnote w:type="continuationSeparator" w:id="0">
    <w:p w14:paraId="25E4704E" w14:textId="77777777" w:rsidR="003C5E17" w:rsidRDefault="003C5E17" w:rsidP="00546A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F2F63"/>
    <w:multiLevelType w:val="hybridMultilevel"/>
    <w:tmpl w:val="D13A584A"/>
    <w:lvl w:ilvl="0" w:tplc="6CD47E44">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 w15:restartNumberingAfterBreak="0">
    <w:nsid w:val="11E37343"/>
    <w:multiLevelType w:val="hybridMultilevel"/>
    <w:tmpl w:val="2DCC3870"/>
    <w:lvl w:ilvl="0" w:tplc="66D2FFA0">
      <w:start w:val="11"/>
      <w:numFmt w:val="taiwaneseCountingThousand"/>
      <w:suff w:val="nothing"/>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4C12AF5"/>
    <w:multiLevelType w:val="hybridMultilevel"/>
    <w:tmpl w:val="8B60496A"/>
    <w:lvl w:ilvl="0" w:tplc="6D4EE54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8712A98"/>
    <w:multiLevelType w:val="hybridMultilevel"/>
    <w:tmpl w:val="D4264346"/>
    <w:lvl w:ilvl="0" w:tplc="13EA352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9D756F0"/>
    <w:multiLevelType w:val="hybridMultilevel"/>
    <w:tmpl w:val="EF0681E2"/>
    <w:lvl w:ilvl="0" w:tplc="FFFFFFFF">
      <w:start w:val="1"/>
      <w:numFmt w:val="taiwaneseCountingThousand"/>
      <w:lvlText w:val="%1、"/>
      <w:lvlJc w:val="left"/>
      <w:pPr>
        <w:ind w:left="720" w:hanging="72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5" w15:restartNumberingAfterBreak="0">
    <w:nsid w:val="2F133160"/>
    <w:multiLevelType w:val="hybridMultilevel"/>
    <w:tmpl w:val="7CAA0FCA"/>
    <w:lvl w:ilvl="0" w:tplc="E33E7434">
      <w:start w:val="1"/>
      <w:numFmt w:val="taiwaneseCountingThousand"/>
      <w:suff w:val="nothing"/>
      <w:lvlText w:val="(%1)"/>
      <w:lvlJc w:val="left"/>
      <w:pPr>
        <w:ind w:left="480" w:hanging="480"/>
      </w:pPr>
    </w:lvl>
    <w:lvl w:ilvl="1" w:tplc="0BBCAD10">
      <w:start w:val="1"/>
      <w:numFmt w:val="decimal"/>
      <w:suff w:val="nothing"/>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3F747B8B"/>
    <w:multiLevelType w:val="hybridMultilevel"/>
    <w:tmpl w:val="D4264346"/>
    <w:lvl w:ilvl="0" w:tplc="FFFFFFFF">
      <w:start w:val="1"/>
      <w:numFmt w:val="taiwaneseCountingThousand"/>
      <w:lvlText w:val="%1、"/>
      <w:lvlJc w:val="left"/>
      <w:pPr>
        <w:ind w:left="720" w:hanging="72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7" w15:restartNumberingAfterBreak="0">
    <w:nsid w:val="428B234D"/>
    <w:multiLevelType w:val="hybridMultilevel"/>
    <w:tmpl w:val="F3BC2396"/>
    <w:lvl w:ilvl="0" w:tplc="9DF65BA2">
      <w:start w:val="1"/>
      <w:numFmt w:val="taiwaneseCountingThousand"/>
      <w:suff w:val="nothing"/>
      <w:lvlText w:val="(%1)"/>
      <w:lvlJc w:val="left"/>
      <w:pPr>
        <w:ind w:left="906" w:hanging="480"/>
      </w:pPr>
      <w:rPr>
        <w:rFonts w:hint="eastAsia"/>
        <w:color w:val="auto"/>
      </w:rPr>
    </w:lvl>
    <w:lvl w:ilvl="1" w:tplc="04090019" w:tentative="1">
      <w:start w:val="1"/>
      <w:numFmt w:val="ideographTraditional"/>
      <w:lvlText w:val="%2、"/>
      <w:lvlJc w:val="left"/>
      <w:pPr>
        <w:ind w:left="1549" w:hanging="480"/>
      </w:pPr>
    </w:lvl>
    <w:lvl w:ilvl="2" w:tplc="0409001B" w:tentative="1">
      <w:start w:val="1"/>
      <w:numFmt w:val="lowerRoman"/>
      <w:lvlText w:val="%3."/>
      <w:lvlJc w:val="right"/>
      <w:pPr>
        <w:ind w:left="2029" w:hanging="480"/>
      </w:pPr>
    </w:lvl>
    <w:lvl w:ilvl="3" w:tplc="0409000F" w:tentative="1">
      <w:start w:val="1"/>
      <w:numFmt w:val="decimal"/>
      <w:lvlText w:val="%4."/>
      <w:lvlJc w:val="left"/>
      <w:pPr>
        <w:ind w:left="2509" w:hanging="480"/>
      </w:pPr>
    </w:lvl>
    <w:lvl w:ilvl="4" w:tplc="04090019" w:tentative="1">
      <w:start w:val="1"/>
      <w:numFmt w:val="ideographTraditional"/>
      <w:lvlText w:val="%5、"/>
      <w:lvlJc w:val="left"/>
      <w:pPr>
        <w:ind w:left="2989" w:hanging="480"/>
      </w:pPr>
    </w:lvl>
    <w:lvl w:ilvl="5" w:tplc="0409001B" w:tentative="1">
      <w:start w:val="1"/>
      <w:numFmt w:val="lowerRoman"/>
      <w:lvlText w:val="%6."/>
      <w:lvlJc w:val="right"/>
      <w:pPr>
        <w:ind w:left="3469" w:hanging="480"/>
      </w:pPr>
    </w:lvl>
    <w:lvl w:ilvl="6" w:tplc="0409000F" w:tentative="1">
      <w:start w:val="1"/>
      <w:numFmt w:val="decimal"/>
      <w:lvlText w:val="%7."/>
      <w:lvlJc w:val="left"/>
      <w:pPr>
        <w:ind w:left="3949" w:hanging="480"/>
      </w:pPr>
    </w:lvl>
    <w:lvl w:ilvl="7" w:tplc="04090019" w:tentative="1">
      <w:start w:val="1"/>
      <w:numFmt w:val="ideographTraditional"/>
      <w:lvlText w:val="%8、"/>
      <w:lvlJc w:val="left"/>
      <w:pPr>
        <w:ind w:left="4429" w:hanging="480"/>
      </w:pPr>
    </w:lvl>
    <w:lvl w:ilvl="8" w:tplc="0409001B" w:tentative="1">
      <w:start w:val="1"/>
      <w:numFmt w:val="lowerRoman"/>
      <w:lvlText w:val="%9."/>
      <w:lvlJc w:val="right"/>
      <w:pPr>
        <w:ind w:left="4909" w:hanging="480"/>
      </w:pPr>
    </w:lvl>
  </w:abstractNum>
  <w:abstractNum w:abstractNumId="8" w15:restartNumberingAfterBreak="0">
    <w:nsid w:val="4B2E5BFE"/>
    <w:multiLevelType w:val="hybridMultilevel"/>
    <w:tmpl w:val="BB5686E6"/>
    <w:lvl w:ilvl="0" w:tplc="04090015">
      <w:start w:val="1"/>
      <w:numFmt w:val="taiwaneseCountingThousand"/>
      <w:lvlText w:val="%1、"/>
      <w:lvlJc w:val="left"/>
      <w:pPr>
        <w:ind w:left="1048"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EB30022"/>
    <w:multiLevelType w:val="hybridMultilevel"/>
    <w:tmpl w:val="6FBCF572"/>
    <w:lvl w:ilvl="0" w:tplc="6CD47E44">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0" w15:restartNumberingAfterBreak="0">
    <w:nsid w:val="5BAC2B49"/>
    <w:multiLevelType w:val="hybridMultilevel"/>
    <w:tmpl w:val="0D0A976A"/>
    <w:lvl w:ilvl="0" w:tplc="0409000F">
      <w:start w:val="1"/>
      <w:numFmt w:val="decimal"/>
      <w:lvlText w:val="%1."/>
      <w:lvlJc w:val="left"/>
      <w:pPr>
        <w:ind w:left="480" w:hanging="480"/>
      </w:pPr>
    </w:lvl>
    <w:lvl w:ilvl="1" w:tplc="DD6C14FA">
      <w:start w:val="2"/>
      <w:numFmt w:val="decimal"/>
      <w:lvlText w:val="%2."/>
      <w:lvlJc w:val="left"/>
      <w:pPr>
        <w:ind w:left="1615"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5E187699"/>
    <w:multiLevelType w:val="hybridMultilevel"/>
    <w:tmpl w:val="53E032EC"/>
    <w:lvl w:ilvl="0" w:tplc="EDCEA372">
      <w:start w:val="1"/>
      <w:numFmt w:val="taiwaneseCountingThousand"/>
      <w:suff w:val="nothing"/>
      <w:lvlText w:val="%1、"/>
      <w:lvlJc w:val="left"/>
      <w:pPr>
        <w:ind w:left="720" w:hanging="720"/>
      </w:pPr>
      <w:rPr>
        <w:rFonts w:ascii="標楷體" w:eastAsia="標楷體" w:hAnsi="標楷體" w:cs="標楷體"/>
      </w:rPr>
    </w:lvl>
    <w:lvl w:ilvl="1" w:tplc="CBB42F2C">
      <w:start w:val="1"/>
      <w:numFmt w:val="taiwaneseCountingThousand"/>
      <w:suff w:val="nothing"/>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6"/>
  </w:num>
  <w:num w:numId="3">
    <w:abstractNumId w:val="4"/>
  </w:num>
  <w:num w:numId="4">
    <w:abstractNumId w:val="2"/>
  </w:num>
  <w:num w:numId="5">
    <w:abstractNumId w:val="8"/>
  </w:num>
  <w:num w:numId="6">
    <w:abstractNumId w:val="11"/>
  </w:num>
  <w:num w:numId="7">
    <w:abstractNumId w:val="9"/>
  </w:num>
  <w:num w:numId="8">
    <w:abstractNumId w:val="0"/>
  </w:num>
  <w:num w:numId="9">
    <w:abstractNumId w:val="1"/>
  </w:num>
  <w:num w:numId="10">
    <w:abstractNumId w:val="7"/>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attachedTemplate r:id="rId1"/>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54C4"/>
    <w:rsid w:val="0000361D"/>
    <w:rsid w:val="00010555"/>
    <w:rsid w:val="000603FB"/>
    <w:rsid w:val="00065E8C"/>
    <w:rsid w:val="000668EA"/>
    <w:rsid w:val="00067D72"/>
    <w:rsid w:val="000A5BB8"/>
    <w:rsid w:val="000B0EA1"/>
    <w:rsid w:val="000C193D"/>
    <w:rsid w:val="000E1651"/>
    <w:rsid w:val="000E391B"/>
    <w:rsid w:val="000F3660"/>
    <w:rsid w:val="00113EFE"/>
    <w:rsid w:val="00126D2E"/>
    <w:rsid w:val="001454C4"/>
    <w:rsid w:val="00177061"/>
    <w:rsid w:val="001772D6"/>
    <w:rsid w:val="00185E18"/>
    <w:rsid w:val="001A7D1F"/>
    <w:rsid w:val="001B2C3E"/>
    <w:rsid w:val="001B7D03"/>
    <w:rsid w:val="001D07C4"/>
    <w:rsid w:val="001E222B"/>
    <w:rsid w:val="001E44C1"/>
    <w:rsid w:val="001E6562"/>
    <w:rsid w:val="001F5D71"/>
    <w:rsid w:val="002139AA"/>
    <w:rsid w:val="0023028F"/>
    <w:rsid w:val="002314E7"/>
    <w:rsid w:val="002424BB"/>
    <w:rsid w:val="0025028D"/>
    <w:rsid w:val="00262346"/>
    <w:rsid w:val="00262C40"/>
    <w:rsid w:val="00271323"/>
    <w:rsid w:val="00277EDC"/>
    <w:rsid w:val="00281768"/>
    <w:rsid w:val="002A50E1"/>
    <w:rsid w:val="00310614"/>
    <w:rsid w:val="00321D33"/>
    <w:rsid w:val="00324598"/>
    <w:rsid w:val="0033618A"/>
    <w:rsid w:val="003646B2"/>
    <w:rsid w:val="00375299"/>
    <w:rsid w:val="003A2A16"/>
    <w:rsid w:val="003C5E17"/>
    <w:rsid w:val="003D23AA"/>
    <w:rsid w:val="003E5BCB"/>
    <w:rsid w:val="003F47DE"/>
    <w:rsid w:val="003F7515"/>
    <w:rsid w:val="00400541"/>
    <w:rsid w:val="004129F1"/>
    <w:rsid w:val="00443870"/>
    <w:rsid w:val="00445DC7"/>
    <w:rsid w:val="0045291E"/>
    <w:rsid w:val="004648BE"/>
    <w:rsid w:val="004A158E"/>
    <w:rsid w:val="004C018B"/>
    <w:rsid w:val="004D4337"/>
    <w:rsid w:val="004D6747"/>
    <w:rsid w:val="004E1C33"/>
    <w:rsid w:val="004E7DA5"/>
    <w:rsid w:val="004F1B89"/>
    <w:rsid w:val="004F1D41"/>
    <w:rsid w:val="005124DD"/>
    <w:rsid w:val="00522DB3"/>
    <w:rsid w:val="00546A13"/>
    <w:rsid w:val="005521D6"/>
    <w:rsid w:val="00555640"/>
    <w:rsid w:val="00570621"/>
    <w:rsid w:val="00591E84"/>
    <w:rsid w:val="00595984"/>
    <w:rsid w:val="005A47CD"/>
    <w:rsid w:val="005B2AC2"/>
    <w:rsid w:val="005E3868"/>
    <w:rsid w:val="005F384D"/>
    <w:rsid w:val="006174D3"/>
    <w:rsid w:val="006412D7"/>
    <w:rsid w:val="006507FB"/>
    <w:rsid w:val="00684FFD"/>
    <w:rsid w:val="00695778"/>
    <w:rsid w:val="006A1C5F"/>
    <w:rsid w:val="006B6B72"/>
    <w:rsid w:val="006B7487"/>
    <w:rsid w:val="006C2908"/>
    <w:rsid w:val="006C2984"/>
    <w:rsid w:val="006E4F70"/>
    <w:rsid w:val="00707886"/>
    <w:rsid w:val="00711D40"/>
    <w:rsid w:val="00732B76"/>
    <w:rsid w:val="00755A8C"/>
    <w:rsid w:val="007B1812"/>
    <w:rsid w:val="007B32AA"/>
    <w:rsid w:val="007E50C1"/>
    <w:rsid w:val="00804E5A"/>
    <w:rsid w:val="00864097"/>
    <w:rsid w:val="008A47D9"/>
    <w:rsid w:val="008A6EFC"/>
    <w:rsid w:val="008C0053"/>
    <w:rsid w:val="008C02AF"/>
    <w:rsid w:val="008D13B5"/>
    <w:rsid w:val="008F7D83"/>
    <w:rsid w:val="00923BC8"/>
    <w:rsid w:val="0092611B"/>
    <w:rsid w:val="009316B3"/>
    <w:rsid w:val="00941855"/>
    <w:rsid w:val="00955EEC"/>
    <w:rsid w:val="009644D3"/>
    <w:rsid w:val="009645D8"/>
    <w:rsid w:val="00974D85"/>
    <w:rsid w:val="009978A3"/>
    <w:rsid w:val="009A03CF"/>
    <w:rsid w:val="009A54E0"/>
    <w:rsid w:val="009A6462"/>
    <w:rsid w:val="009B41A8"/>
    <w:rsid w:val="009B6DB6"/>
    <w:rsid w:val="009B7880"/>
    <w:rsid w:val="009D2A5E"/>
    <w:rsid w:val="009D58D6"/>
    <w:rsid w:val="009F5527"/>
    <w:rsid w:val="00A4668B"/>
    <w:rsid w:val="00A5355A"/>
    <w:rsid w:val="00A73824"/>
    <w:rsid w:val="00A8084C"/>
    <w:rsid w:val="00A923D9"/>
    <w:rsid w:val="00A95263"/>
    <w:rsid w:val="00AA06D5"/>
    <w:rsid w:val="00AA692E"/>
    <w:rsid w:val="00AE3602"/>
    <w:rsid w:val="00B15CB9"/>
    <w:rsid w:val="00B24C40"/>
    <w:rsid w:val="00B2692A"/>
    <w:rsid w:val="00B3037F"/>
    <w:rsid w:val="00B32618"/>
    <w:rsid w:val="00B51268"/>
    <w:rsid w:val="00B8109B"/>
    <w:rsid w:val="00BB1153"/>
    <w:rsid w:val="00BC4FAA"/>
    <w:rsid w:val="00C14371"/>
    <w:rsid w:val="00C225C0"/>
    <w:rsid w:val="00C366B3"/>
    <w:rsid w:val="00C36EB1"/>
    <w:rsid w:val="00C448B9"/>
    <w:rsid w:val="00C52866"/>
    <w:rsid w:val="00C67B21"/>
    <w:rsid w:val="00C767B8"/>
    <w:rsid w:val="00CA349B"/>
    <w:rsid w:val="00CB7EC0"/>
    <w:rsid w:val="00CC56AC"/>
    <w:rsid w:val="00CE0518"/>
    <w:rsid w:val="00CE0B0E"/>
    <w:rsid w:val="00D03546"/>
    <w:rsid w:val="00D4403D"/>
    <w:rsid w:val="00D45A5C"/>
    <w:rsid w:val="00D634DE"/>
    <w:rsid w:val="00D83AB3"/>
    <w:rsid w:val="00D90224"/>
    <w:rsid w:val="00DA2C89"/>
    <w:rsid w:val="00DD3FB4"/>
    <w:rsid w:val="00DE0D19"/>
    <w:rsid w:val="00DF5369"/>
    <w:rsid w:val="00DF7473"/>
    <w:rsid w:val="00E2624A"/>
    <w:rsid w:val="00E43C10"/>
    <w:rsid w:val="00E61DC2"/>
    <w:rsid w:val="00E6784D"/>
    <w:rsid w:val="00E81A12"/>
    <w:rsid w:val="00E97085"/>
    <w:rsid w:val="00EA37B0"/>
    <w:rsid w:val="00EC03B5"/>
    <w:rsid w:val="00EC765B"/>
    <w:rsid w:val="00ED3267"/>
    <w:rsid w:val="00EE7F04"/>
    <w:rsid w:val="00F2693B"/>
    <w:rsid w:val="00F912F0"/>
    <w:rsid w:val="00F96DBB"/>
    <w:rsid w:val="00FF5432"/>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015005"/>
  <w15:chartTrackingRefBased/>
  <w15:docId w15:val="{B8191A06-EFED-4AC6-B0A4-7A55F18E9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BC4FAA"/>
    <w:pPr>
      <w:widowControl w:val="0"/>
      <w:autoSpaceDE w:val="0"/>
      <w:autoSpaceDN w:val="0"/>
      <w:adjustRightInd w:val="0"/>
    </w:pPr>
    <w:rPr>
      <w:rFonts w:ascii="標楷體" w:eastAsia="標楷體" w:cs="標楷體"/>
      <w:color w:val="000000"/>
      <w:kern w:val="0"/>
      <w:szCs w:val="24"/>
    </w:rPr>
  </w:style>
  <w:style w:type="paragraph" w:styleId="a3">
    <w:name w:val="List Paragraph"/>
    <w:aliases w:val="01清單段落"/>
    <w:basedOn w:val="a"/>
    <w:link w:val="a4"/>
    <w:uiPriority w:val="34"/>
    <w:qFormat/>
    <w:rsid w:val="000C193D"/>
    <w:pPr>
      <w:ind w:leftChars="200" w:left="480"/>
    </w:pPr>
    <w:rPr>
      <w:rFonts w:ascii="Calibri" w:eastAsia="新細明體" w:hAnsi="Calibri" w:cs="Times New Roman"/>
    </w:rPr>
  </w:style>
  <w:style w:type="character" w:customStyle="1" w:styleId="a4">
    <w:name w:val="清單段落 字元"/>
    <w:aliases w:val="01清單段落 字元"/>
    <w:link w:val="a3"/>
    <w:uiPriority w:val="34"/>
    <w:locked/>
    <w:rsid w:val="000C193D"/>
    <w:rPr>
      <w:rFonts w:ascii="Calibri" w:eastAsia="新細明體" w:hAnsi="Calibri" w:cs="Times New Roman"/>
    </w:rPr>
  </w:style>
  <w:style w:type="paragraph" w:styleId="a5">
    <w:name w:val="header"/>
    <w:basedOn w:val="a"/>
    <w:link w:val="a6"/>
    <w:uiPriority w:val="99"/>
    <w:unhideWhenUsed/>
    <w:rsid w:val="00546A13"/>
    <w:pPr>
      <w:tabs>
        <w:tab w:val="center" w:pos="4153"/>
        <w:tab w:val="right" w:pos="8306"/>
      </w:tabs>
      <w:snapToGrid w:val="0"/>
    </w:pPr>
    <w:rPr>
      <w:sz w:val="20"/>
      <w:szCs w:val="20"/>
    </w:rPr>
  </w:style>
  <w:style w:type="character" w:customStyle="1" w:styleId="a6">
    <w:name w:val="頁首 字元"/>
    <w:basedOn w:val="a0"/>
    <w:link w:val="a5"/>
    <w:uiPriority w:val="99"/>
    <w:rsid w:val="00546A13"/>
    <w:rPr>
      <w:sz w:val="20"/>
      <w:szCs w:val="20"/>
    </w:rPr>
  </w:style>
  <w:style w:type="paragraph" w:styleId="a7">
    <w:name w:val="footer"/>
    <w:basedOn w:val="a"/>
    <w:link w:val="a8"/>
    <w:uiPriority w:val="99"/>
    <w:unhideWhenUsed/>
    <w:rsid w:val="00546A13"/>
    <w:pPr>
      <w:tabs>
        <w:tab w:val="center" w:pos="4153"/>
        <w:tab w:val="right" w:pos="8306"/>
      </w:tabs>
      <w:snapToGrid w:val="0"/>
    </w:pPr>
    <w:rPr>
      <w:sz w:val="20"/>
      <w:szCs w:val="20"/>
    </w:rPr>
  </w:style>
  <w:style w:type="character" w:customStyle="1" w:styleId="a8">
    <w:name w:val="頁尾 字元"/>
    <w:basedOn w:val="a0"/>
    <w:link w:val="a7"/>
    <w:uiPriority w:val="99"/>
    <w:rsid w:val="00546A13"/>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Lydoc\templet\budget_meeting.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budget_meeting.dotx</Template>
  <TotalTime>0</TotalTime>
  <Pages>29</Pages>
  <Words>4193</Words>
  <Characters>23903</Characters>
  <Application>Microsoft Office Word</Application>
  <DocSecurity>0</DocSecurity>
  <Lines>199</Lines>
  <Paragraphs>56</Paragraphs>
  <ScaleCrop>false</ScaleCrop>
  <Company/>
  <LinksUpToDate>false</LinksUpToDate>
  <CharactersWithSpaces>28040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cp:lastPrinted>2026-06-08T03:46:00Z</cp:lastPrinted>
  <dcterms:created xsi:type="dcterms:W3CDTF">2026-06-10T03:50:00Z</dcterms:created>
  <dcterms:modified xsi:type="dcterms:W3CDTF">2026-06-10T03:50:00Z</dcterms:modified>
</cp:coreProperties>
</file>