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2A5A7" w14:textId="77777777" w:rsidR="00E744CB" w:rsidRPr="00134B54" w:rsidRDefault="00E744CB" w:rsidP="00E744CB">
      <w:pPr>
        <w:pStyle w:val="Default"/>
        <w:spacing w:afterLines="50" w:after="180" w:line="360" w:lineRule="exact"/>
        <w:ind w:left="849" w:hangingChars="303" w:hanging="849"/>
        <w:jc w:val="distribute"/>
        <w:rPr>
          <w:rFonts w:hAnsi="標楷體"/>
          <w:b/>
          <w:color w:val="auto"/>
          <w:sz w:val="28"/>
          <w:szCs w:val="28"/>
        </w:rPr>
      </w:pPr>
      <w:bookmarkStart w:id="0" w:name="會議名稱"/>
      <w:bookmarkEnd w:id="0"/>
      <w:r w:rsidRPr="00134B54">
        <w:rPr>
          <w:rFonts w:hAnsi="標楷體"/>
          <w:b/>
          <w:color w:val="auto"/>
          <w:sz w:val="28"/>
          <w:szCs w:val="28"/>
        </w:rPr>
        <w:t>立法院第11屆第</w:t>
      </w:r>
      <w:r w:rsidRPr="00134B54">
        <w:rPr>
          <w:rFonts w:hAnsi="標楷體" w:hint="eastAsia"/>
          <w:b/>
          <w:color w:val="auto"/>
          <w:sz w:val="28"/>
          <w:szCs w:val="28"/>
        </w:rPr>
        <w:t>5</w:t>
      </w:r>
      <w:r w:rsidRPr="00134B54">
        <w:rPr>
          <w:rFonts w:hAnsi="標楷體"/>
          <w:b/>
          <w:color w:val="auto"/>
          <w:sz w:val="28"/>
          <w:szCs w:val="28"/>
        </w:rPr>
        <w:t>會期司法及法制委員會第</w:t>
      </w:r>
      <w:r w:rsidRPr="00134B54">
        <w:rPr>
          <w:rFonts w:hAnsi="標楷體" w:hint="eastAsia"/>
          <w:b/>
          <w:color w:val="auto"/>
          <w:sz w:val="28"/>
          <w:szCs w:val="28"/>
        </w:rPr>
        <w:t>1</w:t>
      </w:r>
      <w:r w:rsidRPr="00134B54">
        <w:rPr>
          <w:rFonts w:hAnsi="標楷體"/>
          <w:b/>
          <w:color w:val="auto"/>
          <w:sz w:val="28"/>
          <w:szCs w:val="28"/>
        </w:rPr>
        <w:t>4次全體委員會議議事錄</w:t>
      </w:r>
    </w:p>
    <w:p w14:paraId="3B89A8E5" w14:textId="4B71C40B" w:rsidR="00E744CB" w:rsidRPr="00595081" w:rsidRDefault="00E744CB" w:rsidP="00E744CB">
      <w:pPr>
        <w:pStyle w:val="Default"/>
        <w:spacing w:line="360" w:lineRule="exact"/>
        <w:ind w:left="1400" w:hangingChars="500" w:hanging="1400"/>
        <w:jc w:val="both"/>
        <w:rPr>
          <w:rFonts w:hAnsi="標楷體"/>
          <w:color w:val="auto"/>
          <w:sz w:val="28"/>
          <w:szCs w:val="28"/>
        </w:rPr>
      </w:pPr>
      <w:r w:rsidRPr="00134B54">
        <w:rPr>
          <w:rFonts w:hAnsi="標楷體" w:hint="eastAsia"/>
          <w:color w:val="auto"/>
          <w:sz w:val="28"/>
          <w:szCs w:val="28"/>
        </w:rPr>
        <w:t>時　　間：</w:t>
      </w:r>
      <w:bookmarkStart w:id="1" w:name="時間"/>
      <w:bookmarkEnd w:id="1"/>
      <w:r w:rsidRPr="00595081">
        <w:rPr>
          <w:rFonts w:hAnsi="標楷體" w:hint="eastAsia"/>
          <w:color w:val="auto"/>
          <w:sz w:val="28"/>
          <w:szCs w:val="28"/>
        </w:rPr>
        <w:t>中華民國</w:t>
      </w:r>
      <w:r w:rsidRPr="00595081">
        <w:rPr>
          <w:rFonts w:hAnsi="標楷體"/>
          <w:color w:val="auto"/>
          <w:sz w:val="28"/>
          <w:szCs w:val="28"/>
        </w:rPr>
        <w:t>11</w:t>
      </w:r>
      <w:r w:rsidRPr="00595081">
        <w:rPr>
          <w:rFonts w:hAnsi="標楷體" w:hint="eastAsia"/>
          <w:color w:val="auto"/>
          <w:sz w:val="28"/>
          <w:szCs w:val="28"/>
        </w:rPr>
        <w:t>5</w:t>
      </w:r>
      <w:r w:rsidRPr="00595081">
        <w:rPr>
          <w:rFonts w:hAnsi="標楷體"/>
          <w:color w:val="auto"/>
          <w:sz w:val="28"/>
          <w:szCs w:val="28"/>
        </w:rPr>
        <w:t>年</w:t>
      </w:r>
      <w:r w:rsidRPr="00595081">
        <w:rPr>
          <w:rFonts w:hAnsi="標楷體" w:hint="eastAsia"/>
          <w:color w:val="auto"/>
          <w:sz w:val="28"/>
          <w:szCs w:val="28"/>
        </w:rPr>
        <w:t>5</w:t>
      </w:r>
      <w:r w:rsidRPr="00595081">
        <w:rPr>
          <w:rFonts w:hAnsi="標楷體"/>
          <w:color w:val="auto"/>
          <w:sz w:val="28"/>
          <w:szCs w:val="28"/>
        </w:rPr>
        <w:t>月</w:t>
      </w:r>
      <w:r w:rsidRPr="00595081">
        <w:rPr>
          <w:rFonts w:hAnsi="標楷體" w:hint="eastAsia"/>
          <w:color w:val="auto"/>
          <w:sz w:val="28"/>
          <w:szCs w:val="28"/>
        </w:rPr>
        <w:t>18</w:t>
      </w:r>
      <w:r w:rsidRPr="00595081">
        <w:rPr>
          <w:rFonts w:hAnsi="標楷體"/>
          <w:color w:val="auto"/>
          <w:sz w:val="28"/>
          <w:szCs w:val="28"/>
        </w:rPr>
        <w:t>日（星期</w:t>
      </w:r>
      <w:r w:rsidRPr="00595081">
        <w:rPr>
          <w:rFonts w:hAnsi="標楷體" w:hint="eastAsia"/>
          <w:color w:val="auto"/>
          <w:sz w:val="28"/>
          <w:szCs w:val="28"/>
        </w:rPr>
        <w:t>一</w:t>
      </w:r>
      <w:r w:rsidRPr="00595081">
        <w:rPr>
          <w:rFonts w:hAnsi="標楷體"/>
          <w:color w:val="auto"/>
          <w:sz w:val="28"/>
          <w:szCs w:val="28"/>
        </w:rPr>
        <w:t>）上午9時</w:t>
      </w:r>
      <w:r w:rsidR="00467CF4" w:rsidRPr="00595081">
        <w:rPr>
          <w:rFonts w:hAnsi="標楷體" w:hint="eastAsia"/>
          <w:color w:val="auto"/>
          <w:sz w:val="28"/>
          <w:szCs w:val="28"/>
        </w:rPr>
        <w:t>2</w:t>
      </w:r>
      <w:r w:rsidRPr="00595081">
        <w:rPr>
          <w:rFonts w:hAnsi="標楷體"/>
          <w:color w:val="auto"/>
          <w:sz w:val="28"/>
          <w:szCs w:val="28"/>
        </w:rPr>
        <w:t>分至</w:t>
      </w:r>
      <w:r w:rsidRPr="00595081">
        <w:rPr>
          <w:rFonts w:hAnsi="標楷體" w:hint="eastAsia"/>
          <w:color w:val="auto"/>
          <w:sz w:val="28"/>
          <w:szCs w:val="28"/>
        </w:rPr>
        <w:t>1</w:t>
      </w:r>
      <w:r w:rsidR="003C1043" w:rsidRPr="00595081">
        <w:rPr>
          <w:rFonts w:hAnsi="標楷體" w:hint="eastAsia"/>
          <w:color w:val="auto"/>
          <w:sz w:val="28"/>
          <w:szCs w:val="28"/>
        </w:rPr>
        <w:t>1</w:t>
      </w:r>
      <w:r w:rsidRPr="00595081">
        <w:rPr>
          <w:rFonts w:hAnsi="標楷體"/>
          <w:color w:val="auto"/>
          <w:sz w:val="28"/>
          <w:szCs w:val="28"/>
        </w:rPr>
        <w:t>時</w:t>
      </w:r>
      <w:r w:rsidR="003C1043" w:rsidRPr="00595081">
        <w:rPr>
          <w:rFonts w:hAnsi="標楷體" w:hint="eastAsia"/>
          <w:color w:val="auto"/>
          <w:sz w:val="28"/>
          <w:szCs w:val="28"/>
        </w:rPr>
        <w:t>51</w:t>
      </w:r>
      <w:r w:rsidRPr="00595081">
        <w:rPr>
          <w:rFonts w:hAnsi="標楷體"/>
          <w:color w:val="auto"/>
          <w:sz w:val="28"/>
          <w:szCs w:val="28"/>
        </w:rPr>
        <w:t>分</w:t>
      </w:r>
      <w:bookmarkStart w:id="2" w:name="_Hlk227943858"/>
      <w:r w:rsidRPr="00595081">
        <w:rPr>
          <w:rFonts w:hAnsi="標楷體" w:hint="eastAsia"/>
          <w:color w:val="auto"/>
          <w:sz w:val="28"/>
          <w:szCs w:val="28"/>
        </w:rPr>
        <w:t>；</w:t>
      </w:r>
      <w:bookmarkEnd w:id="2"/>
      <w:r w:rsidRPr="00595081">
        <w:rPr>
          <w:rFonts w:hAnsi="標楷體" w:hint="eastAsia"/>
          <w:color w:val="auto"/>
          <w:sz w:val="28"/>
          <w:szCs w:val="28"/>
        </w:rPr>
        <w:t>5月20日（星期三）上午</w:t>
      </w:r>
      <w:r w:rsidR="00595081">
        <w:rPr>
          <w:rFonts w:hAnsi="標楷體" w:hint="eastAsia"/>
          <w:color w:val="auto"/>
          <w:sz w:val="28"/>
          <w:szCs w:val="28"/>
        </w:rPr>
        <w:t>9</w:t>
      </w:r>
      <w:r w:rsidRPr="00595081">
        <w:rPr>
          <w:rFonts w:hAnsi="標楷體" w:hint="eastAsia"/>
          <w:color w:val="auto"/>
          <w:sz w:val="28"/>
          <w:szCs w:val="28"/>
        </w:rPr>
        <w:t>時</w:t>
      </w:r>
      <w:r w:rsidR="00595081">
        <w:rPr>
          <w:rFonts w:hAnsi="標楷體" w:hint="eastAsia"/>
          <w:color w:val="auto"/>
          <w:sz w:val="28"/>
          <w:szCs w:val="28"/>
        </w:rPr>
        <w:t>4</w:t>
      </w:r>
      <w:r w:rsidRPr="00595081">
        <w:rPr>
          <w:rFonts w:hAnsi="標楷體" w:hint="eastAsia"/>
          <w:color w:val="auto"/>
          <w:sz w:val="28"/>
          <w:szCs w:val="28"/>
        </w:rPr>
        <w:t>分至</w:t>
      </w:r>
      <w:r w:rsidR="00595081">
        <w:rPr>
          <w:rFonts w:hAnsi="標楷體" w:hint="eastAsia"/>
          <w:color w:val="auto"/>
          <w:sz w:val="28"/>
          <w:szCs w:val="28"/>
        </w:rPr>
        <w:t>10</w:t>
      </w:r>
      <w:r w:rsidRPr="00595081">
        <w:rPr>
          <w:rFonts w:hAnsi="標楷體" w:hint="eastAsia"/>
          <w:color w:val="auto"/>
          <w:sz w:val="28"/>
          <w:szCs w:val="28"/>
        </w:rPr>
        <w:t>時</w:t>
      </w:r>
      <w:r w:rsidR="00595081">
        <w:rPr>
          <w:rFonts w:hAnsi="標楷體" w:hint="eastAsia"/>
          <w:color w:val="auto"/>
          <w:sz w:val="28"/>
          <w:szCs w:val="28"/>
        </w:rPr>
        <w:t>25</w:t>
      </w:r>
      <w:r w:rsidRPr="00595081">
        <w:rPr>
          <w:rFonts w:hAnsi="標楷體" w:hint="eastAsia"/>
          <w:color w:val="auto"/>
          <w:sz w:val="28"/>
          <w:szCs w:val="28"/>
        </w:rPr>
        <w:t>分；5</w:t>
      </w:r>
      <w:r w:rsidRPr="00595081">
        <w:rPr>
          <w:rFonts w:hAnsi="標楷體"/>
          <w:color w:val="auto"/>
          <w:sz w:val="28"/>
          <w:szCs w:val="28"/>
        </w:rPr>
        <w:t>月</w:t>
      </w:r>
      <w:r w:rsidRPr="00595081">
        <w:rPr>
          <w:rFonts w:hAnsi="標楷體" w:hint="eastAsia"/>
          <w:color w:val="auto"/>
          <w:sz w:val="28"/>
          <w:szCs w:val="28"/>
        </w:rPr>
        <w:t>21</w:t>
      </w:r>
      <w:r w:rsidRPr="00595081">
        <w:rPr>
          <w:rFonts w:hAnsi="標楷體"/>
          <w:color w:val="auto"/>
          <w:sz w:val="28"/>
          <w:szCs w:val="28"/>
        </w:rPr>
        <w:t>日（星期</w:t>
      </w:r>
      <w:r w:rsidRPr="00595081">
        <w:rPr>
          <w:rFonts w:hAnsi="標楷體" w:hint="eastAsia"/>
          <w:color w:val="auto"/>
          <w:sz w:val="28"/>
          <w:szCs w:val="28"/>
        </w:rPr>
        <w:t>四</w:t>
      </w:r>
      <w:r w:rsidRPr="00595081">
        <w:rPr>
          <w:rFonts w:hAnsi="標楷體"/>
          <w:color w:val="auto"/>
          <w:sz w:val="28"/>
          <w:szCs w:val="28"/>
        </w:rPr>
        <w:t>）上午</w:t>
      </w:r>
      <w:r w:rsidR="00890645">
        <w:rPr>
          <w:rFonts w:hAnsi="標楷體" w:hint="eastAsia"/>
          <w:color w:val="auto"/>
          <w:sz w:val="28"/>
          <w:szCs w:val="28"/>
        </w:rPr>
        <w:t>9</w:t>
      </w:r>
      <w:r w:rsidRPr="00595081">
        <w:rPr>
          <w:rFonts w:hAnsi="標楷體"/>
          <w:color w:val="auto"/>
          <w:sz w:val="28"/>
          <w:szCs w:val="28"/>
        </w:rPr>
        <w:t>時至</w:t>
      </w:r>
      <w:r w:rsidR="00890645">
        <w:rPr>
          <w:rFonts w:hAnsi="標楷體" w:hint="eastAsia"/>
          <w:color w:val="auto"/>
          <w:sz w:val="28"/>
          <w:szCs w:val="28"/>
        </w:rPr>
        <w:t>11</w:t>
      </w:r>
      <w:r w:rsidRPr="00595081">
        <w:rPr>
          <w:rFonts w:hAnsi="標楷體"/>
          <w:color w:val="auto"/>
          <w:sz w:val="28"/>
          <w:szCs w:val="28"/>
        </w:rPr>
        <w:t>時</w:t>
      </w:r>
      <w:r w:rsidR="00890645">
        <w:rPr>
          <w:rFonts w:hAnsi="標楷體" w:hint="eastAsia"/>
          <w:color w:val="auto"/>
          <w:sz w:val="28"/>
          <w:szCs w:val="28"/>
        </w:rPr>
        <w:t>7</w:t>
      </w:r>
      <w:r w:rsidRPr="00595081">
        <w:rPr>
          <w:rFonts w:hAnsi="標楷體"/>
          <w:color w:val="auto"/>
          <w:sz w:val="28"/>
          <w:szCs w:val="28"/>
        </w:rPr>
        <w:t>分</w:t>
      </w:r>
      <w:r w:rsidR="00890645" w:rsidRPr="00890645">
        <w:rPr>
          <w:rFonts w:hAnsi="標楷體" w:hint="eastAsia"/>
          <w:color w:val="auto"/>
          <w:sz w:val="28"/>
          <w:szCs w:val="28"/>
        </w:rPr>
        <w:t>、</w:t>
      </w:r>
      <w:r w:rsidR="00890645" w:rsidRPr="006E7FC3">
        <w:rPr>
          <w:rFonts w:hAnsi="標楷體" w:hint="eastAsia"/>
          <w:color w:val="auto"/>
          <w:sz w:val="28"/>
          <w:szCs w:val="28"/>
        </w:rPr>
        <w:t>下午2時至</w:t>
      </w:r>
      <w:r w:rsidR="006E7FC3" w:rsidRPr="006E7FC3">
        <w:rPr>
          <w:rFonts w:hAnsi="標楷體"/>
          <w:color w:val="auto"/>
          <w:sz w:val="28"/>
          <w:szCs w:val="28"/>
        </w:rPr>
        <w:t>4</w:t>
      </w:r>
      <w:r w:rsidR="00890645" w:rsidRPr="006E7FC3">
        <w:rPr>
          <w:rFonts w:hAnsi="標楷體" w:hint="eastAsia"/>
          <w:color w:val="auto"/>
          <w:sz w:val="28"/>
          <w:szCs w:val="28"/>
        </w:rPr>
        <w:t>時</w:t>
      </w:r>
      <w:r w:rsidR="006E7FC3" w:rsidRPr="006E7FC3">
        <w:rPr>
          <w:rFonts w:hAnsi="標楷體"/>
          <w:color w:val="auto"/>
          <w:sz w:val="28"/>
          <w:szCs w:val="28"/>
        </w:rPr>
        <w:t>49</w:t>
      </w:r>
      <w:r w:rsidR="00890645" w:rsidRPr="006E7FC3">
        <w:rPr>
          <w:rFonts w:hAnsi="標楷體" w:hint="eastAsia"/>
          <w:color w:val="auto"/>
          <w:sz w:val="28"/>
          <w:szCs w:val="28"/>
        </w:rPr>
        <w:t>分</w:t>
      </w:r>
    </w:p>
    <w:p w14:paraId="2B213FFF" w14:textId="77777777" w:rsidR="00E744CB" w:rsidRPr="00134B54" w:rsidRDefault="00E744CB" w:rsidP="00E744CB">
      <w:pPr>
        <w:pStyle w:val="Default"/>
        <w:spacing w:line="360" w:lineRule="exact"/>
        <w:ind w:left="848" w:hangingChars="303" w:hanging="848"/>
        <w:jc w:val="both"/>
        <w:rPr>
          <w:rFonts w:hAnsi="標楷體"/>
          <w:color w:val="auto"/>
          <w:sz w:val="28"/>
          <w:szCs w:val="28"/>
        </w:rPr>
      </w:pPr>
      <w:r w:rsidRPr="00134B54">
        <w:rPr>
          <w:rFonts w:hAnsi="標楷體" w:hint="eastAsia"/>
          <w:color w:val="auto"/>
          <w:sz w:val="28"/>
          <w:szCs w:val="28"/>
        </w:rPr>
        <w:t>地　　點：</w:t>
      </w:r>
      <w:bookmarkStart w:id="3" w:name="地點"/>
      <w:bookmarkEnd w:id="3"/>
      <w:r w:rsidRPr="00134B54">
        <w:rPr>
          <w:rFonts w:hAnsi="標楷體" w:hint="eastAsia"/>
          <w:color w:val="auto"/>
          <w:sz w:val="28"/>
          <w:szCs w:val="28"/>
        </w:rPr>
        <w:t>本院紅樓</w:t>
      </w:r>
      <w:r w:rsidRPr="00134B54">
        <w:rPr>
          <w:rFonts w:hAnsi="標楷體"/>
          <w:color w:val="auto"/>
          <w:sz w:val="28"/>
          <w:szCs w:val="28"/>
        </w:rPr>
        <w:t>302會議室</w:t>
      </w:r>
    </w:p>
    <w:p w14:paraId="2D02C35E" w14:textId="77777777" w:rsidR="00F11DB2" w:rsidRPr="00134B54" w:rsidRDefault="00E744CB" w:rsidP="00E744CB">
      <w:pPr>
        <w:pStyle w:val="Default"/>
        <w:spacing w:line="360" w:lineRule="exact"/>
        <w:ind w:left="1386" w:hangingChars="495" w:hanging="1386"/>
        <w:rPr>
          <w:rFonts w:hAnsi="標楷體"/>
          <w:sz w:val="28"/>
          <w:szCs w:val="28"/>
        </w:rPr>
      </w:pPr>
      <w:r w:rsidRPr="00134B54">
        <w:rPr>
          <w:rFonts w:hAnsi="標楷體" w:hint="eastAsia"/>
          <w:color w:val="auto"/>
          <w:sz w:val="28"/>
          <w:szCs w:val="28"/>
        </w:rPr>
        <w:t>出席委員：</w:t>
      </w:r>
      <w:bookmarkStart w:id="4" w:name="出席委員"/>
      <w:bookmarkEnd w:id="4"/>
      <w:r w:rsidR="006D1842" w:rsidRPr="00134B54">
        <w:rPr>
          <w:rFonts w:hAnsi="標楷體" w:hint="eastAsia"/>
          <w:sz w:val="28"/>
          <w:szCs w:val="28"/>
        </w:rPr>
        <w:t>林倩綺</w:t>
      </w:r>
      <w:r w:rsidR="006D1842" w:rsidRPr="00134B54">
        <w:rPr>
          <w:rFonts w:hAnsi="標楷體" w:hint="eastAsia"/>
          <w:sz w:val="28"/>
          <w:szCs w:val="28"/>
        </w:rPr>
        <w:tab/>
      </w:r>
      <w:bookmarkStart w:id="5" w:name="_Hlk227932266"/>
      <w:r w:rsidR="006D1842" w:rsidRPr="00134B54">
        <w:rPr>
          <w:rFonts w:hAnsi="標楷體" w:hint="eastAsia"/>
          <w:sz w:val="28"/>
          <w:szCs w:val="28"/>
        </w:rPr>
        <w:t>莊瑞雄</w:t>
      </w:r>
      <w:bookmarkEnd w:id="5"/>
      <w:r w:rsidR="006D1842" w:rsidRPr="00134B54">
        <w:rPr>
          <w:rFonts w:hAnsi="標楷體"/>
          <w:sz w:val="28"/>
          <w:szCs w:val="28"/>
        </w:rPr>
        <w:tab/>
      </w:r>
      <w:r w:rsidR="006D1842" w:rsidRPr="00134B54">
        <w:rPr>
          <w:rFonts w:hAnsi="標楷體" w:hint="eastAsia"/>
          <w:sz w:val="28"/>
          <w:szCs w:val="28"/>
        </w:rPr>
        <w:t>張雅琳</w:t>
      </w:r>
      <w:r w:rsidR="006D1842" w:rsidRPr="00134B54">
        <w:rPr>
          <w:rFonts w:hAnsi="標楷體" w:hint="eastAsia"/>
          <w:sz w:val="28"/>
          <w:szCs w:val="28"/>
        </w:rPr>
        <w:tab/>
        <w:t>吳宗憲</w:t>
      </w:r>
      <w:r w:rsidR="006D1842" w:rsidRPr="00134B54">
        <w:rPr>
          <w:rFonts w:hAnsi="標楷體" w:hint="eastAsia"/>
          <w:sz w:val="28"/>
          <w:szCs w:val="28"/>
        </w:rPr>
        <w:tab/>
        <w:t>林沛祥</w:t>
      </w:r>
      <w:r w:rsidR="006D1842" w:rsidRPr="00134B54">
        <w:rPr>
          <w:rFonts w:hAnsi="標楷體" w:hint="eastAsia"/>
          <w:sz w:val="28"/>
          <w:szCs w:val="28"/>
        </w:rPr>
        <w:tab/>
      </w:r>
      <w:bookmarkStart w:id="6" w:name="_Hlk227940664"/>
      <w:r w:rsidR="00F11DB2" w:rsidRPr="00134B54">
        <w:rPr>
          <w:rFonts w:hAnsi="標楷體" w:hint="eastAsia"/>
          <w:sz w:val="28"/>
          <w:szCs w:val="28"/>
        </w:rPr>
        <w:t>翁曉玲</w:t>
      </w:r>
      <w:bookmarkEnd w:id="6"/>
      <w:r w:rsidR="00F11DB2" w:rsidRPr="00134B54">
        <w:rPr>
          <w:rFonts w:hAnsi="標楷體"/>
          <w:sz w:val="28"/>
          <w:szCs w:val="28"/>
        </w:rPr>
        <w:tab/>
      </w:r>
      <w:r w:rsidR="00F11DB2" w:rsidRPr="00134B54">
        <w:rPr>
          <w:rFonts w:hAnsi="標楷體" w:hint="eastAsia"/>
          <w:sz w:val="28"/>
          <w:szCs w:val="28"/>
        </w:rPr>
        <w:t>許宇甄</w:t>
      </w:r>
    </w:p>
    <w:p w14:paraId="35A0D535" w14:textId="17B92FA8" w:rsidR="00E744CB" w:rsidRPr="00134B54" w:rsidRDefault="00F11DB2" w:rsidP="00E744CB">
      <w:pPr>
        <w:pStyle w:val="Default"/>
        <w:spacing w:line="360" w:lineRule="exact"/>
        <w:ind w:left="1386" w:hangingChars="495" w:hanging="1386"/>
        <w:rPr>
          <w:rFonts w:hAnsi="標楷體"/>
          <w:color w:val="auto"/>
          <w:sz w:val="28"/>
          <w:szCs w:val="28"/>
        </w:rPr>
      </w:pPr>
      <w:r w:rsidRPr="00134B54">
        <w:rPr>
          <w:rFonts w:hAnsi="標楷體" w:hint="eastAsia"/>
          <w:sz w:val="28"/>
          <w:szCs w:val="28"/>
        </w:rPr>
        <w:tab/>
      </w:r>
      <w:r w:rsidR="00E744CB" w:rsidRPr="00134B54">
        <w:rPr>
          <w:rFonts w:hAnsi="標楷體" w:hint="eastAsia"/>
          <w:sz w:val="28"/>
          <w:szCs w:val="28"/>
        </w:rPr>
        <w:t>沈發惠</w:t>
      </w:r>
      <w:r w:rsidR="00E744CB" w:rsidRPr="00134B54">
        <w:rPr>
          <w:rFonts w:hAnsi="標楷體" w:hint="eastAsia"/>
          <w:sz w:val="28"/>
          <w:szCs w:val="28"/>
        </w:rPr>
        <w:tab/>
        <w:t>范  雲</w:t>
      </w:r>
      <w:r w:rsidR="00E744CB" w:rsidRPr="00134B54">
        <w:rPr>
          <w:rFonts w:hAnsi="標楷體"/>
          <w:sz w:val="28"/>
          <w:szCs w:val="28"/>
        </w:rPr>
        <w:tab/>
      </w:r>
      <w:r w:rsidR="00C10C31" w:rsidRPr="00134B54">
        <w:rPr>
          <w:rFonts w:hAnsi="標楷體" w:hint="eastAsia"/>
          <w:color w:val="auto"/>
          <w:sz w:val="28"/>
          <w:szCs w:val="28"/>
        </w:rPr>
        <w:t>柯建銘</w:t>
      </w:r>
      <w:r w:rsidR="00C10C31" w:rsidRPr="00134B54">
        <w:rPr>
          <w:rFonts w:hAnsi="標楷體" w:hint="eastAsia"/>
          <w:color w:val="auto"/>
          <w:sz w:val="28"/>
          <w:szCs w:val="28"/>
        </w:rPr>
        <w:tab/>
      </w:r>
      <w:r w:rsidR="00595081">
        <w:rPr>
          <w:rFonts w:hAnsi="標楷體" w:hint="eastAsia"/>
          <w:color w:val="auto"/>
          <w:sz w:val="28"/>
          <w:szCs w:val="28"/>
        </w:rPr>
        <w:t>蔡其昌</w:t>
      </w:r>
      <w:r w:rsidR="006D1842" w:rsidRPr="006964E4">
        <w:rPr>
          <w:rFonts w:hAnsi="標楷體" w:hint="eastAsia"/>
          <w:color w:val="auto"/>
          <w:sz w:val="28"/>
          <w:szCs w:val="28"/>
        </w:rPr>
        <w:tab/>
        <w:t>傅崐萁</w:t>
      </w:r>
    </w:p>
    <w:p w14:paraId="47DBADD6" w14:textId="0A3B49CC" w:rsidR="00E744CB" w:rsidRPr="00134B54" w:rsidRDefault="00E744CB" w:rsidP="003D2EC0">
      <w:pPr>
        <w:pStyle w:val="Default"/>
        <w:spacing w:line="360" w:lineRule="exact"/>
        <w:ind w:leftChars="353" w:left="847" w:firstLineChars="192" w:firstLine="538"/>
        <w:rPr>
          <w:rFonts w:hAnsi="標楷體"/>
          <w:color w:val="auto"/>
          <w:sz w:val="28"/>
          <w:szCs w:val="28"/>
        </w:rPr>
      </w:pPr>
      <w:r w:rsidRPr="00134B54">
        <w:rPr>
          <w:rFonts w:hAnsi="標楷體" w:hint="eastAsia"/>
          <w:color w:val="auto"/>
          <w:sz w:val="28"/>
          <w:szCs w:val="28"/>
        </w:rPr>
        <w:t>委員出席</w:t>
      </w:r>
      <w:r w:rsidR="00595081">
        <w:rPr>
          <w:rFonts w:hAnsi="標楷體"/>
          <w:color w:val="auto"/>
          <w:sz w:val="28"/>
          <w:szCs w:val="28"/>
        </w:rPr>
        <w:t>1</w:t>
      </w:r>
      <w:r w:rsidR="006964E4">
        <w:rPr>
          <w:rFonts w:hAnsi="標楷體"/>
          <w:color w:val="auto"/>
          <w:sz w:val="28"/>
          <w:szCs w:val="28"/>
        </w:rPr>
        <w:t>2</w:t>
      </w:r>
      <w:r w:rsidRPr="00134B54">
        <w:rPr>
          <w:rFonts w:hAnsi="標楷體" w:hint="eastAsia"/>
          <w:color w:val="auto"/>
          <w:sz w:val="28"/>
          <w:szCs w:val="28"/>
        </w:rPr>
        <w:t>人</w:t>
      </w:r>
    </w:p>
    <w:p w14:paraId="51202A18" w14:textId="467EC124" w:rsidR="00E744CB" w:rsidRDefault="00E744CB" w:rsidP="00F11DB2">
      <w:pPr>
        <w:pStyle w:val="Default"/>
        <w:spacing w:line="360" w:lineRule="exact"/>
        <w:ind w:left="848" w:hangingChars="303" w:hanging="848"/>
        <w:rPr>
          <w:rFonts w:hAnsi="標楷體"/>
          <w:sz w:val="28"/>
          <w:szCs w:val="28"/>
        </w:rPr>
      </w:pPr>
      <w:r w:rsidRPr="00134B54">
        <w:rPr>
          <w:rFonts w:hAnsi="標楷體" w:hint="eastAsia"/>
          <w:color w:val="auto"/>
          <w:sz w:val="28"/>
          <w:szCs w:val="28"/>
        </w:rPr>
        <w:t>列席委員：</w:t>
      </w:r>
      <w:r w:rsidR="00595081">
        <w:rPr>
          <w:rFonts w:hAnsi="標楷體" w:hint="eastAsia"/>
          <w:color w:val="auto"/>
          <w:sz w:val="28"/>
          <w:szCs w:val="28"/>
        </w:rPr>
        <w:t>鍾佳濱</w:t>
      </w:r>
      <w:r w:rsidR="00595081" w:rsidRPr="00134B54">
        <w:rPr>
          <w:rFonts w:hAnsi="標楷體" w:hint="eastAsia"/>
          <w:sz w:val="28"/>
          <w:szCs w:val="28"/>
        </w:rPr>
        <w:tab/>
      </w:r>
      <w:r w:rsidR="00595081">
        <w:rPr>
          <w:rFonts w:hAnsi="標楷體" w:hint="eastAsia"/>
          <w:sz w:val="28"/>
          <w:szCs w:val="28"/>
        </w:rPr>
        <w:t>鄭正鈐</w:t>
      </w:r>
      <w:r w:rsidR="00595081" w:rsidRPr="00134B54">
        <w:rPr>
          <w:rFonts w:hAnsi="標楷體" w:hint="eastAsia"/>
          <w:sz w:val="28"/>
          <w:szCs w:val="28"/>
        </w:rPr>
        <w:tab/>
      </w:r>
      <w:r w:rsidR="00595081">
        <w:rPr>
          <w:rFonts w:hAnsi="標楷體" w:hint="eastAsia"/>
          <w:sz w:val="28"/>
          <w:szCs w:val="28"/>
        </w:rPr>
        <w:t>蘇清泉</w:t>
      </w:r>
      <w:r w:rsidR="006964E4" w:rsidRPr="00134B54">
        <w:rPr>
          <w:rFonts w:hAnsi="標楷體" w:hint="eastAsia"/>
          <w:sz w:val="28"/>
          <w:szCs w:val="28"/>
        </w:rPr>
        <w:tab/>
      </w:r>
      <w:r w:rsidR="006964E4">
        <w:rPr>
          <w:rFonts w:hAnsi="標楷體" w:hint="eastAsia"/>
          <w:sz w:val="28"/>
          <w:szCs w:val="28"/>
        </w:rPr>
        <w:t>洪孟楷</w:t>
      </w:r>
      <w:r w:rsidR="006964E4" w:rsidRPr="00134B54">
        <w:rPr>
          <w:rFonts w:hAnsi="標楷體" w:hint="eastAsia"/>
          <w:sz w:val="28"/>
          <w:szCs w:val="28"/>
        </w:rPr>
        <w:tab/>
      </w:r>
      <w:r w:rsidR="006964E4">
        <w:rPr>
          <w:rFonts w:hAnsi="標楷體" w:hint="eastAsia"/>
          <w:sz w:val="28"/>
          <w:szCs w:val="28"/>
        </w:rPr>
        <w:t>楊瓊瓔</w:t>
      </w:r>
      <w:r w:rsidR="006964E4" w:rsidRPr="00134B54">
        <w:rPr>
          <w:rFonts w:hAnsi="標楷體" w:hint="eastAsia"/>
          <w:sz w:val="28"/>
          <w:szCs w:val="28"/>
        </w:rPr>
        <w:tab/>
      </w:r>
      <w:r w:rsidR="006964E4">
        <w:rPr>
          <w:rFonts w:hAnsi="標楷體" w:hint="eastAsia"/>
          <w:sz w:val="28"/>
          <w:szCs w:val="28"/>
        </w:rPr>
        <w:t>陳俊宇</w:t>
      </w:r>
      <w:r w:rsidR="006964E4" w:rsidRPr="00134B54">
        <w:rPr>
          <w:rFonts w:hAnsi="標楷體" w:hint="eastAsia"/>
          <w:sz w:val="28"/>
          <w:szCs w:val="28"/>
        </w:rPr>
        <w:tab/>
      </w:r>
      <w:r w:rsidR="006964E4">
        <w:rPr>
          <w:rFonts w:hAnsi="標楷體" w:hint="eastAsia"/>
          <w:sz w:val="28"/>
          <w:szCs w:val="28"/>
        </w:rPr>
        <w:t>賴士葆</w:t>
      </w:r>
      <w:r w:rsidR="006964E4" w:rsidRPr="00134B54">
        <w:rPr>
          <w:rFonts w:hAnsi="標楷體" w:hint="eastAsia"/>
          <w:sz w:val="28"/>
          <w:szCs w:val="28"/>
        </w:rPr>
        <w:tab/>
      </w:r>
    </w:p>
    <w:p w14:paraId="21C5F29E" w14:textId="73C68105" w:rsidR="006964E4" w:rsidRPr="00134B54" w:rsidRDefault="006964E4" w:rsidP="006964E4">
      <w:pPr>
        <w:snapToGrid w:val="0"/>
        <w:ind w:leftChars="239" w:left="574" w:firstLineChars="300" w:firstLine="840"/>
        <w:rPr>
          <w:rFonts w:hAnsi="標楷體"/>
          <w:color w:val="FF0000"/>
          <w:sz w:val="28"/>
          <w:szCs w:val="28"/>
        </w:rPr>
      </w:pPr>
      <w:r w:rsidRPr="006964E4">
        <w:rPr>
          <w:rFonts w:ascii="標楷體" w:eastAsia="標楷體" w:hAnsi="標楷體" w:cs="Times New Roman" w:hint="eastAsia"/>
          <w:sz w:val="28"/>
          <w:szCs w:val="28"/>
        </w:rPr>
        <w:t>陳冠廷</w:t>
      </w:r>
    </w:p>
    <w:p w14:paraId="59FBC8A3" w14:textId="7F72FBE4" w:rsidR="00E744CB" w:rsidRPr="00134B54" w:rsidRDefault="00E744CB" w:rsidP="00E744CB">
      <w:pPr>
        <w:pStyle w:val="Default"/>
        <w:spacing w:line="360" w:lineRule="exact"/>
        <w:ind w:leftChars="353" w:left="847" w:firstLineChars="203" w:firstLine="568"/>
        <w:rPr>
          <w:rFonts w:hAnsi="標楷體"/>
          <w:color w:val="auto"/>
          <w:sz w:val="28"/>
          <w:szCs w:val="28"/>
        </w:rPr>
      </w:pPr>
      <w:r w:rsidRPr="00134B54">
        <w:rPr>
          <w:rFonts w:hAnsi="標楷體" w:hint="eastAsia"/>
          <w:color w:val="auto"/>
          <w:sz w:val="28"/>
          <w:szCs w:val="28"/>
        </w:rPr>
        <w:t>委員列席</w:t>
      </w:r>
      <w:r w:rsidR="006964E4">
        <w:rPr>
          <w:rFonts w:hAnsi="標楷體" w:hint="eastAsia"/>
          <w:color w:val="auto"/>
          <w:sz w:val="28"/>
          <w:szCs w:val="28"/>
        </w:rPr>
        <w:t>8</w:t>
      </w:r>
      <w:r w:rsidRPr="00134B54">
        <w:rPr>
          <w:rFonts w:hAnsi="標楷體" w:hint="eastAsia"/>
          <w:color w:val="auto"/>
          <w:sz w:val="28"/>
          <w:szCs w:val="28"/>
        </w:rPr>
        <w:t>人</w:t>
      </w:r>
    </w:p>
    <w:p w14:paraId="2B4D00F7" w14:textId="77777777" w:rsidR="00E744CB" w:rsidRPr="00134B54" w:rsidRDefault="00E744CB" w:rsidP="00E744CB">
      <w:pPr>
        <w:adjustRightInd w:val="0"/>
        <w:snapToGrid w:val="0"/>
        <w:spacing w:line="400" w:lineRule="exact"/>
        <w:ind w:left="1361" w:hangingChars="486" w:hanging="1361"/>
        <w:jc w:val="both"/>
        <w:rPr>
          <w:rFonts w:ascii="標楷體" w:eastAsia="標楷體" w:hAnsi="標楷體" w:cs="Times New Roman"/>
          <w:sz w:val="28"/>
          <w:szCs w:val="28"/>
        </w:rPr>
      </w:pPr>
      <w:r w:rsidRPr="00134B54">
        <w:rPr>
          <w:rFonts w:ascii="標楷體" w:eastAsia="標楷體" w:hAnsi="標楷體" w:cs="Times New Roman"/>
          <w:sz w:val="28"/>
          <w:szCs w:val="28"/>
        </w:rPr>
        <w:t>列席官員：</w:t>
      </w:r>
      <w:r w:rsidRPr="00134B54">
        <w:rPr>
          <w:rFonts w:ascii="標楷體" w:eastAsia="標楷體" w:hAnsi="標楷體" w:cs="Times New Roman" w:hint="eastAsia"/>
          <w:b/>
          <w:bCs/>
          <w:sz w:val="28"/>
          <w:szCs w:val="28"/>
        </w:rPr>
        <w:t>5月18日（星期一）</w:t>
      </w:r>
    </w:p>
    <w:p w14:paraId="442ABED9" w14:textId="77777777"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kern w:val="0"/>
          <w:sz w:val="28"/>
          <w:szCs w:val="28"/>
        </w:rPr>
        <w:t>司法院秘書長</w:t>
      </w:r>
      <w:r w:rsidRPr="00134B54">
        <w:rPr>
          <w:rFonts w:ascii="標楷體" w:eastAsia="標楷體" w:hAnsi="標楷體" w:cs="Times New Roman" w:hint="eastAsia"/>
          <w:kern w:val="0"/>
          <w:sz w:val="28"/>
          <w:szCs w:val="28"/>
        </w:rPr>
        <w:t xml:space="preserve">　高金枝</w:t>
      </w:r>
    </w:p>
    <w:p w14:paraId="1420039C" w14:textId="77777777"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法官學院院長　張升星</w:t>
      </w:r>
    </w:p>
    <w:p w14:paraId="316179CA" w14:textId="77777777"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臺灣高等法院院長　王梅英</w:t>
      </w:r>
    </w:p>
    <w:p w14:paraId="56DD55CF" w14:textId="77777777"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臺灣臺北地方法院院長　何信慶</w:t>
      </w:r>
    </w:p>
    <w:p w14:paraId="02D21A9F" w14:textId="77777777"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臺灣新北地方法院院長　蕭胤瑮</w:t>
      </w:r>
    </w:p>
    <w:p w14:paraId="7903A9F1" w14:textId="20ECC21C"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財團法人法律扶助基金會</w:t>
      </w:r>
      <w:r w:rsidR="00DB7427" w:rsidRPr="00134B54">
        <w:rPr>
          <w:rFonts w:ascii="標楷體" w:eastAsia="標楷體" w:hAnsi="標楷體" w:cs="Times New Roman" w:hint="eastAsia"/>
          <w:kern w:val="0"/>
          <w:sz w:val="28"/>
          <w:szCs w:val="28"/>
        </w:rPr>
        <w:t>董事長</w:t>
      </w:r>
      <w:r w:rsidRPr="00134B54">
        <w:rPr>
          <w:rFonts w:ascii="標楷體" w:eastAsia="標楷體" w:hAnsi="標楷體" w:cs="Times New Roman" w:hint="eastAsia"/>
          <w:kern w:val="0"/>
          <w:sz w:val="28"/>
          <w:szCs w:val="28"/>
        </w:rPr>
        <w:t xml:space="preserve">　</w:t>
      </w:r>
      <w:r w:rsidR="00DB7427" w:rsidRPr="00134B54">
        <w:rPr>
          <w:rFonts w:ascii="標楷體" w:eastAsia="標楷體" w:hAnsi="標楷體" w:cs="Times New Roman" w:hint="eastAsia"/>
          <w:kern w:val="0"/>
          <w:sz w:val="28"/>
          <w:szCs w:val="28"/>
        </w:rPr>
        <w:t>莊秋桃</w:t>
      </w:r>
    </w:p>
    <w:p w14:paraId="1C9B7DE3" w14:textId="5A6BB31D" w:rsidR="00E744CB" w:rsidRPr="00134B54" w:rsidRDefault="00E744CB"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134B54">
        <w:rPr>
          <w:rFonts w:ascii="標楷體" w:eastAsia="標楷體" w:hAnsi="標楷體" w:cs="Times New Roman" w:hint="eastAsia"/>
          <w:kern w:val="0"/>
          <w:sz w:val="28"/>
          <w:szCs w:val="28"/>
        </w:rPr>
        <w:t xml:space="preserve">行政院主計總處公務預算處專門委員　</w:t>
      </w:r>
      <w:r w:rsidR="00DB7427" w:rsidRPr="00134B54">
        <w:rPr>
          <w:rFonts w:ascii="標楷體" w:eastAsia="標楷體" w:hAnsi="標楷體" w:cs="Times New Roman" w:hint="eastAsia"/>
          <w:kern w:val="0"/>
          <w:sz w:val="28"/>
          <w:szCs w:val="28"/>
        </w:rPr>
        <w:t>邱碧珠</w:t>
      </w:r>
    </w:p>
    <w:p w14:paraId="14392058" w14:textId="77777777" w:rsidR="00E744CB" w:rsidRPr="00134B54" w:rsidRDefault="00E744CB" w:rsidP="00E744CB">
      <w:pPr>
        <w:tabs>
          <w:tab w:val="left" w:pos="1843"/>
        </w:tabs>
        <w:adjustRightInd w:val="0"/>
        <w:snapToGrid w:val="0"/>
        <w:spacing w:line="370" w:lineRule="exact"/>
        <w:ind w:leftChars="584" w:left="2803" w:hangingChars="500" w:hanging="1401"/>
        <w:jc w:val="both"/>
        <w:rPr>
          <w:rFonts w:ascii="標楷體" w:eastAsia="標楷體" w:hAnsi="標楷體" w:cs="標楷體"/>
          <w:b/>
          <w:kern w:val="0"/>
          <w:sz w:val="28"/>
          <w:szCs w:val="28"/>
        </w:rPr>
      </w:pPr>
      <w:r w:rsidRPr="00134B54">
        <w:rPr>
          <w:rFonts w:ascii="標楷體" w:eastAsia="標楷體" w:hAnsi="標楷體" w:cs="標楷體" w:hint="eastAsia"/>
          <w:b/>
          <w:kern w:val="0"/>
          <w:sz w:val="28"/>
          <w:szCs w:val="28"/>
        </w:rPr>
        <w:t>5月2</w:t>
      </w:r>
      <w:r w:rsidRPr="00134B54">
        <w:rPr>
          <w:rFonts w:ascii="標楷體" w:eastAsia="標楷體" w:hAnsi="標楷體" w:cs="標楷體"/>
          <w:b/>
          <w:kern w:val="0"/>
          <w:sz w:val="28"/>
          <w:szCs w:val="28"/>
        </w:rPr>
        <w:t>0</w:t>
      </w:r>
      <w:r w:rsidRPr="00134B54">
        <w:rPr>
          <w:rFonts w:ascii="標楷體" w:eastAsia="標楷體" w:hAnsi="標楷體" w:cs="標楷體" w:hint="eastAsia"/>
          <w:b/>
          <w:kern w:val="0"/>
          <w:sz w:val="28"/>
          <w:szCs w:val="28"/>
        </w:rPr>
        <w:t>日（星期三）</w:t>
      </w:r>
    </w:p>
    <w:p w14:paraId="6E9A9041" w14:textId="0896B715" w:rsidR="00E744CB" w:rsidRDefault="0061654E" w:rsidP="00E744CB">
      <w:pPr>
        <w:adjustRightInd w:val="0"/>
        <w:snapToGrid w:val="0"/>
        <w:spacing w:line="380" w:lineRule="exact"/>
        <w:ind w:leftChars="567" w:left="1361" w:firstLineChars="13" w:firstLine="36"/>
        <w:jc w:val="both"/>
        <w:rPr>
          <w:rFonts w:ascii="標楷體" w:eastAsia="標楷體" w:hAnsi="標楷體" w:cs="Times New Roman"/>
          <w:kern w:val="0"/>
          <w:sz w:val="28"/>
          <w:szCs w:val="28"/>
        </w:rPr>
      </w:pPr>
      <w:r w:rsidRPr="0061654E">
        <w:rPr>
          <w:rFonts w:ascii="標楷體" w:eastAsia="標楷體" w:hAnsi="標楷體" w:hint="eastAsia"/>
          <w:kern w:val="0"/>
          <w:sz w:val="28"/>
          <w:szCs w:val="28"/>
        </w:rPr>
        <w:t>行政院人事行政總處政務副人事長</w:t>
      </w:r>
      <w:r w:rsidRPr="00134B54">
        <w:rPr>
          <w:rFonts w:ascii="標楷體" w:eastAsia="標楷體" w:hAnsi="標楷體" w:cs="Times New Roman" w:hint="eastAsia"/>
          <w:kern w:val="0"/>
          <w:sz w:val="28"/>
          <w:szCs w:val="28"/>
        </w:rPr>
        <w:t xml:space="preserve">　</w:t>
      </w:r>
      <w:r w:rsidRPr="0061654E">
        <w:rPr>
          <w:rFonts w:ascii="標楷體" w:eastAsia="標楷體" w:hAnsi="標楷體" w:cs="Times New Roman" w:hint="eastAsia"/>
          <w:kern w:val="0"/>
          <w:sz w:val="28"/>
          <w:szCs w:val="28"/>
        </w:rPr>
        <w:t>張秋元(人事長請假)</w:t>
      </w:r>
    </w:p>
    <w:p w14:paraId="18FA46EC" w14:textId="5D257B57" w:rsidR="0061654E" w:rsidRPr="0061654E" w:rsidRDefault="0061654E" w:rsidP="00E744CB">
      <w:pPr>
        <w:adjustRightInd w:val="0"/>
        <w:snapToGrid w:val="0"/>
        <w:spacing w:line="380" w:lineRule="exact"/>
        <w:ind w:leftChars="567" w:left="1361" w:firstLineChars="13" w:firstLine="36"/>
        <w:jc w:val="both"/>
        <w:rPr>
          <w:rFonts w:ascii="標楷體" w:eastAsia="標楷體" w:hAnsi="標楷體"/>
          <w:spacing w:val="-20"/>
          <w:w w:val="98"/>
          <w:kern w:val="0"/>
          <w:sz w:val="28"/>
          <w:szCs w:val="28"/>
        </w:rPr>
      </w:pPr>
      <w:r>
        <w:rPr>
          <w:rFonts w:ascii="標楷體" w:eastAsia="標楷體" w:hAnsi="標楷體" w:hint="eastAsia"/>
          <w:kern w:val="0"/>
          <w:sz w:val="28"/>
          <w:szCs w:val="28"/>
        </w:rPr>
        <w:t xml:space="preserve">                  </w:t>
      </w:r>
      <w:r w:rsidRPr="0061654E">
        <w:rPr>
          <w:rFonts w:ascii="標楷體" w:eastAsia="標楷體" w:hAnsi="標楷體" w:hint="eastAsia"/>
          <w:spacing w:val="-20"/>
          <w:w w:val="98"/>
          <w:kern w:val="0"/>
          <w:sz w:val="28"/>
          <w:szCs w:val="28"/>
        </w:rPr>
        <w:t>公務人力發展學院副院長　廖英掌(院長請假)</w:t>
      </w:r>
    </w:p>
    <w:p w14:paraId="1A883A64" w14:textId="61D434E6" w:rsidR="0061654E" w:rsidRPr="00134B54" w:rsidRDefault="0061654E" w:rsidP="00E744CB">
      <w:pPr>
        <w:adjustRightInd w:val="0"/>
        <w:snapToGrid w:val="0"/>
        <w:spacing w:line="380" w:lineRule="exact"/>
        <w:ind w:leftChars="567" w:left="1361" w:firstLineChars="13" w:firstLine="36"/>
        <w:jc w:val="both"/>
        <w:rPr>
          <w:rFonts w:ascii="標楷體" w:eastAsia="標楷體" w:hAnsi="標楷體"/>
          <w:kern w:val="0"/>
          <w:sz w:val="28"/>
          <w:szCs w:val="28"/>
        </w:rPr>
      </w:pPr>
      <w:r w:rsidRPr="0061654E">
        <w:rPr>
          <w:rFonts w:ascii="標楷體" w:eastAsia="標楷體" w:hAnsi="標楷體" w:hint="eastAsia"/>
          <w:kern w:val="0"/>
          <w:sz w:val="28"/>
          <w:szCs w:val="28"/>
        </w:rPr>
        <w:t>行政院主計總處公務預算處</w:t>
      </w:r>
      <w:r>
        <w:rPr>
          <w:rFonts w:ascii="標楷體" w:eastAsia="標楷體" w:hAnsi="標楷體" w:hint="eastAsia"/>
          <w:kern w:val="0"/>
          <w:sz w:val="28"/>
          <w:szCs w:val="28"/>
        </w:rPr>
        <w:t>科長</w:t>
      </w:r>
      <w:r w:rsidRPr="0061654E">
        <w:rPr>
          <w:rFonts w:ascii="標楷體" w:eastAsia="標楷體" w:hAnsi="標楷體" w:hint="eastAsia"/>
          <w:kern w:val="0"/>
          <w:sz w:val="28"/>
          <w:szCs w:val="28"/>
        </w:rPr>
        <w:t xml:space="preserve">　</w:t>
      </w:r>
      <w:r>
        <w:rPr>
          <w:rFonts w:ascii="標楷體" w:eastAsia="標楷體" w:hAnsi="標楷體" w:hint="eastAsia"/>
          <w:kern w:val="0"/>
          <w:sz w:val="28"/>
          <w:szCs w:val="28"/>
        </w:rPr>
        <w:t>陳依辰</w:t>
      </w:r>
    </w:p>
    <w:p w14:paraId="3A9D07F9" w14:textId="77777777" w:rsidR="00E744CB" w:rsidRPr="00134B54" w:rsidRDefault="00E744CB" w:rsidP="00E744CB">
      <w:pPr>
        <w:adjustRightInd w:val="0"/>
        <w:snapToGrid w:val="0"/>
        <w:spacing w:line="370" w:lineRule="exact"/>
        <w:ind w:leftChars="584" w:left="2803" w:hangingChars="500" w:hanging="1401"/>
        <w:jc w:val="both"/>
        <w:rPr>
          <w:rFonts w:ascii="標楷體" w:eastAsia="標楷體" w:hAnsi="標楷體" w:cs="標楷體"/>
          <w:b/>
          <w:kern w:val="0"/>
          <w:sz w:val="28"/>
          <w:szCs w:val="28"/>
        </w:rPr>
      </w:pPr>
      <w:r w:rsidRPr="00134B54">
        <w:rPr>
          <w:rFonts w:ascii="標楷體" w:eastAsia="標楷體" w:hAnsi="標楷體" w:cs="標楷體"/>
          <w:b/>
          <w:kern w:val="0"/>
          <w:sz w:val="28"/>
          <w:szCs w:val="28"/>
        </w:rPr>
        <w:t>5</w:t>
      </w:r>
      <w:r w:rsidRPr="00134B54">
        <w:rPr>
          <w:rFonts w:ascii="標楷體" w:eastAsia="標楷體" w:hAnsi="標楷體" w:cs="標楷體" w:hint="eastAsia"/>
          <w:b/>
          <w:kern w:val="0"/>
          <w:sz w:val="28"/>
          <w:szCs w:val="28"/>
        </w:rPr>
        <w:t>月2</w:t>
      </w:r>
      <w:r w:rsidRPr="00134B54">
        <w:rPr>
          <w:rFonts w:ascii="標楷體" w:eastAsia="標楷體" w:hAnsi="標楷體" w:cs="標楷體"/>
          <w:b/>
          <w:kern w:val="0"/>
          <w:sz w:val="28"/>
          <w:szCs w:val="28"/>
        </w:rPr>
        <w:t>1</w:t>
      </w:r>
      <w:r w:rsidRPr="00134B54">
        <w:rPr>
          <w:rFonts w:ascii="標楷體" w:eastAsia="標楷體" w:hAnsi="標楷體" w:cs="標楷體" w:hint="eastAsia"/>
          <w:b/>
          <w:kern w:val="0"/>
          <w:sz w:val="28"/>
          <w:szCs w:val="28"/>
        </w:rPr>
        <w:t>日（星期四）</w:t>
      </w:r>
    </w:p>
    <w:p w14:paraId="1126AE37" w14:textId="77777777" w:rsidR="00890645" w:rsidRPr="00F33271" w:rsidRDefault="00890645" w:rsidP="00890645">
      <w:pPr>
        <w:adjustRightInd w:val="0"/>
        <w:snapToGrid w:val="0"/>
        <w:spacing w:line="360" w:lineRule="exact"/>
        <w:ind w:leftChars="584" w:left="2802" w:hangingChars="500" w:hanging="1400"/>
        <w:jc w:val="both"/>
        <w:rPr>
          <w:rFonts w:ascii="標楷體" w:eastAsia="標楷體" w:hAnsi="標楷體"/>
          <w:kern w:val="0"/>
          <w:sz w:val="28"/>
          <w:szCs w:val="28"/>
        </w:rPr>
      </w:pPr>
      <w:r w:rsidRPr="00F33271">
        <w:rPr>
          <w:rFonts w:ascii="標楷體" w:eastAsia="標楷體" w:hAnsi="標楷體" w:hint="eastAsia"/>
          <w:kern w:val="0"/>
          <w:sz w:val="28"/>
          <w:szCs w:val="28"/>
        </w:rPr>
        <w:t>總統府秘書長　潘孟安（下午請假）</w:t>
      </w:r>
    </w:p>
    <w:p w14:paraId="13F63BFD" w14:textId="3A8830B3" w:rsidR="00890645" w:rsidRPr="00F33271" w:rsidRDefault="00890645" w:rsidP="00890645">
      <w:pPr>
        <w:adjustRightInd w:val="0"/>
        <w:snapToGrid w:val="0"/>
        <w:spacing w:line="380" w:lineRule="exact"/>
        <w:ind w:leftChars="567" w:left="1361" w:firstLineChars="323" w:firstLine="904"/>
        <w:jc w:val="both"/>
        <w:rPr>
          <w:rFonts w:ascii="標楷體" w:eastAsia="標楷體" w:hAnsi="標楷體"/>
          <w:sz w:val="28"/>
          <w:szCs w:val="28"/>
        </w:rPr>
      </w:pPr>
      <w:r w:rsidRPr="00F33271">
        <w:rPr>
          <w:rFonts w:ascii="標楷體" w:eastAsia="標楷體" w:hAnsi="標楷體" w:hint="eastAsia"/>
          <w:kern w:val="0"/>
          <w:sz w:val="28"/>
          <w:szCs w:val="28"/>
        </w:rPr>
        <w:t>副秘書長</w:t>
      </w:r>
      <w:r w:rsidRPr="00F33271">
        <w:rPr>
          <w:rFonts w:ascii="標楷體" w:eastAsia="標楷體" w:hAnsi="標楷體" w:hint="eastAsia"/>
          <w:sz w:val="28"/>
          <w:szCs w:val="28"/>
        </w:rPr>
        <w:t xml:space="preserve">　何志偉</w:t>
      </w:r>
    </w:p>
    <w:p w14:paraId="7DE33EC6" w14:textId="77777777" w:rsidR="00890645" w:rsidRPr="00F33271" w:rsidRDefault="00890645" w:rsidP="00890645">
      <w:pPr>
        <w:adjustRightInd w:val="0"/>
        <w:snapToGrid w:val="0"/>
        <w:spacing w:line="380" w:lineRule="exact"/>
        <w:ind w:leftChars="567" w:left="1361" w:firstLineChars="23" w:firstLine="64"/>
        <w:jc w:val="both"/>
        <w:rPr>
          <w:rFonts w:ascii="標楷體" w:eastAsia="標楷體" w:hAnsi="標楷體"/>
          <w:kern w:val="0"/>
          <w:sz w:val="28"/>
          <w:szCs w:val="28"/>
        </w:rPr>
      </w:pPr>
      <w:r w:rsidRPr="00F33271">
        <w:rPr>
          <w:rFonts w:ascii="標楷體" w:eastAsia="標楷體" w:hAnsi="標楷體" w:hint="eastAsia"/>
          <w:kern w:val="0"/>
          <w:sz w:val="28"/>
          <w:szCs w:val="28"/>
        </w:rPr>
        <w:t>國家安全會議秘書長</w:t>
      </w:r>
      <w:r w:rsidRPr="00F33271">
        <w:rPr>
          <w:rFonts w:ascii="標楷體" w:eastAsia="標楷體" w:hAnsi="標楷體" w:hint="eastAsia"/>
          <w:sz w:val="28"/>
          <w:szCs w:val="28"/>
        </w:rPr>
        <w:t xml:space="preserve">　吳釗燮（下午請假）</w:t>
      </w:r>
    </w:p>
    <w:p w14:paraId="11EC4072" w14:textId="6B679E83" w:rsidR="00890645" w:rsidRPr="00F33271" w:rsidRDefault="00890645" w:rsidP="00890645">
      <w:pPr>
        <w:adjustRightInd w:val="0"/>
        <w:snapToGrid w:val="0"/>
        <w:spacing w:line="380" w:lineRule="exact"/>
        <w:ind w:leftChars="567" w:left="1361" w:firstLineChars="618" w:firstLine="1730"/>
        <w:jc w:val="both"/>
        <w:rPr>
          <w:rFonts w:ascii="標楷體" w:eastAsia="標楷體" w:hAnsi="標楷體"/>
          <w:kern w:val="0"/>
          <w:sz w:val="28"/>
          <w:szCs w:val="28"/>
        </w:rPr>
      </w:pPr>
      <w:r w:rsidRPr="00F33271">
        <w:rPr>
          <w:rFonts w:ascii="標楷體" w:eastAsia="標楷體" w:hAnsi="標楷體" w:hint="eastAsia"/>
          <w:kern w:val="0"/>
          <w:sz w:val="28"/>
          <w:szCs w:val="28"/>
        </w:rPr>
        <w:t>副秘書長</w:t>
      </w:r>
      <w:r w:rsidRPr="00F33271">
        <w:rPr>
          <w:rFonts w:ascii="標楷體" w:eastAsia="標楷體" w:hAnsi="標楷體" w:hint="eastAsia"/>
          <w:sz w:val="28"/>
          <w:szCs w:val="28"/>
        </w:rPr>
        <w:t xml:space="preserve">　</w:t>
      </w:r>
      <w:r w:rsidR="008015F5" w:rsidRPr="008015F5">
        <w:rPr>
          <w:rFonts w:ascii="標楷體" w:eastAsia="標楷體" w:hAnsi="標楷體" w:hint="eastAsia"/>
          <w:sz w:val="28"/>
          <w:szCs w:val="28"/>
        </w:rPr>
        <w:t>趙怡翔</w:t>
      </w:r>
    </w:p>
    <w:p w14:paraId="2F711B79" w14:textId="77777777" w:rsidR="00890645" w:rsidRPr="00F33271" w:rsidRDefault="00890645" w:rsidP="00890645">
      <w:pPr>
        <w:adjustRightInd w:val="0"/>
        <w:snapToGrid w:val="0"/>
        <w:spacing w:line="380" w:lineRule="exact"/>
        <w:ind w:leftChars="567" w:left="1361" w:firstLineChars="23" w:firstLine="64"/>
        <w:jc w:val="both"/>
        <w:rPr>
          <w:rFonts w:ascii="標楷體" w:eastAsia="標楷體" w:hAnsi="標楷體"/>
          <w:kern w:val="0"/>
          <w:sz w:val="28"/>
          <w:szCs w:val="28"/>
        </w:rPr>
      </w:pPr>
      <w:r w:rsidRPr="00F33271">
        <w:rPr>
          <w:rFonts w:ascii="標楷體" w:eastAsia="標楷體" w:hAnsi="標楷體" w:hint="eastAsia"/>
          <w:kern w:val="0"/>
          <w:sz w:val="28"/>
          <w:szCs w:val="28"/>
        </w:rPr>
        <w:t>國史館館長</w:t>
      </w:r>
      <w:r w:rsidRPr="00F33271">
        <w:rPr>
          <w:rFonts w:ascii="標楷體" w:eastAsia="標楷體" w:hAnsi="標楷體" w:hint="eastAsia"/>
          <w:sz w:val="28"/>
          <w:szCs w:val="28"/>
        </w:rPr>
        <w:t xml:space="preserve">　</w:t>
      </w:r>
      <w:r w:rsidRPr="00F33271">
        <w:rPr>
          <w:rFonts w:ascii="標楷體" w:eastAsia="標楷體" w:hAnsi="標楷體" w:hint="eastAsia"/>
          <w:kern w:val="0"/>
          <w:sz w:val="28"/>
          <w:szCs w:val="28"/>
        </w:rPr>
        <w:t>陳儀深</w:t>
      </w:r>
    </w:p>
    <w:p w14:paraId="2137C46E" w14:textId="10C30B2B" w:rsidR="00890645" w:rsidRPr="00F33271" w:rsidRDefault="00890645" w:rsidP="00890645">
      <w:pPr>
        <w:adjustRightInd w:val="0"/>
        <w:snapToGrid w:val="0"/>
        <w:spacing w:line="380" w:lineRule="exact"/>
        <w:ind w:leftChars="567" w:left="1361" w:firstLineChars="323" w:firstLine="904"/>
        <w:jc w:val="both"/>
        <w:rPr>
          <w:rFonts w:ascii="標楷體" w:eastAsia="標楷體" w:hAnsi="標楷體"/>
          <w:kern w:val="0"/>
          <w:sz w:val="28"/>
          <w:szCs w:val="28"/>
        </w:rPr>
      </w:pPr>
      <w:r w:rsidRPr="00F33271">
        <w:rPr>
          <w:rFonts w:ascii="標楷體" w:eastAsia="標楷體" w:hAnsi="標楷體" w:hint="eastAsia"/>
          <w:kern w:val="0"/>
          <w:sz w:val="28"/>
          <w:szCs w:val="28"/>
        </w:rPr>
        <w:t xml:space="preserve">臺灣文獻館館長　</w:t>
      </w:r>
      <w:r w:rsidR="008015F5">
        <w:rPr>
          <w:rFonts w:ascii="標楷體" w:eastAsia="標楷體" w:hAnsi="標楷體" w:hint="eastAsia"/>
          <w:kern w:val="0"/>
          <w:sz w:val="28"/>
          <w:szCs w:val="28"/>
        </w:rPr>
        <w:t>黃翔瑜</w:t>
      </w:r>
    </w:p>
    <w:p w14:paraId="3547A6C3" w14:textId="121D7443" w:rsidR="00E744CB" w:rsidRPr="00134B54" w:rsidRDefault="00890645" w:rsidP="00890645">
      <w:pPr>
        <w:adjustRightInd w:val="0"/>
        <w:snapToGrid w:val="0"/>
        <w:spacing w:line="380" w:lineRule="exact"/>
        <w:ind w:leftChars="567" w:left="1361" w:firstLineChars="13" w:firstLine="36"/>
        <w:jc w:val="both"/>
        <w:rPr>
          <w:rFonts w:ascii="標楷體" w:eastAsia="標楷體" w:hAnsi="標楷體" w:cs="標楷體"/>
          <w:b/>
          <w:kern w:val="0"/>
          <w:sz w:val="28"/>
          <w:szCs w:val="28"/>
        </w:rPr>
      </w:pPr>
      <w:r w:rsidRPr="00890645">
        <w:rPr>
          <w:rFonts w:ascii="標楷體" w:eastAsia="標楷體" w:hAnsi="標楷體" w:hint="eastAsia"/>
          <w:kern w:val="0"/>
          <w:sz w:val="28"/>
          <w:szCs w:val="28"/>
        </w:rPr>
        <w:t>行政院主計總處公務預算處</w:t>
      </w:r>
      <w:r w:rsidRPr="008015F5">
        <w:rPr>
          <w:rFonts w:ascii="標楷體" w:eastAsia="標楷體" w:hAnsi="標楷體" w:hint="eastAsia"/>
          <w:kern w:val="0"/>
          <w:sz w:val="28"/>
          <w:szCs w:val="28"/>
        </w:rPr>
        <w:t xml:space="preserve">專門委員　</w:t>
      </w:r>
      <w:r w:rsidR="008015F5">
        <w:rPr>
          <w:rFonts w:ascii="標楷體" w:eastAsia="標楷體" w:hAnsi="標楷體" w:hint="eastAsia"/>
          <w:kern w:val="0"/>
          <w:sz w:val="28"/>
          <w:szCs w:val="28"/>
        </w:rPr>
        <w:t>吳銘修</w:t>
      </w:r>
    </w:p>
    <w:p w14:paraId="18D54F60" w14:textId="77777777" w:rsidR="00E744CB" w:rsidRPr="00134B54" w:rsidRDefault="00E744CB" w:rsidP="00E744CB">
      <w:pPr>
        <w:pStyle w:val="Default"/>
        <w:spacing w:line="360" w:lineRule="exact"/>
        <w:ind w:left="848" w:hangingChars="303" w:hanging="848"/>
        <w:rPr>
          <w:rFonts w:hAnsi="標楷體"/>
          <w:color w:val="auto"/>
          <w:sz w:val="28"/>
          <w:szCs w:val="28"/>
        </w:rPr>
      </w:pPr>
      <w:r w:rsidRPr="00134B54">
        <w:rPr>
          <w:rFonts w:hAnsi="標楷體" w:hint="eastAsia"/>
          <w:color w:val="auto"/>
          <w:sz w:val="28"/>
          <w:szCs w:val="28"/>
        </w:rPr>
        <w:t>主　　席：</w:t>
      </w:r>
      <w:bookmarkStart w:id="7" w:name="主席"/>
      <w:bookmarkStart w:id="8" w:name="_Hlk228351593"/>
      <w:bookmarkEnd w:id="7"/>
      <w:r w:rsidRPr="00134B54">
        <w:rPr>
          <w:rFonts w:hAnsi="標楷體" w:hint="eastAsia"/>
          <w:color w:val="auto"/>
          <w:sz w:val="28"/>
          <w:szCs w:val="28"/>
        </w:rPr>
        <w:t>莊召集委員瑞雄</w:t>
      </w:r>
      <w:bookmarkEnd w:id="8"/>
    </w:p>
    <w:p w14:paraId="4A52C2C2" w14:textId="77777777" w:rsidR="00E744CB" w:rsidRPr="00134B54" w:rsidRDefault="00E744CB" w:rsidP="00E744CB">
      <w:pPr>
        <w:pStyle w:val="Default"/>
        <w:spacing w:line="360" w:lineRule="exact"/>
        <w:ind w:left="848" w:hangingChars="303" w:hanging="848"/>
        <w:rPr>
          <w:rFonts w:hAnsi="標楷體"/>
          <w:color w:val="auto"/>
          <w:sz w:val="28"/>
          <w:szCs w:val="28"/>
        </w:rPr>
      </w:pPr>
      <w:r w:rsidRPr="00134B54">
        <w:rPr>
          <w:rFonts w:hAnsi="標楷體" w:hint="eastAsia"/>
          <w:color w:val="auto"/>
          <w:sz w:val="28"/>
          <w:szCs w:val="28"/>
        </w:rPr>
        <w:t>專門委員：</w:t>
      </w:r>
      <w:bookmarkStart w:id="9" w:name="專門委員"/>
      <w:bookmarkEnd w:id="9"/>
      <w:r w:rsidRPr="00134B54">
        <w:rPr>
          <w:rFonts w:hAnsi="標楷體" w:hint="eastAsia"/>
          <w:color w:val="auto"/>
          <w:sz w:val="28"/>
          <w:szCs w:val="28"/>
        </w:rPr>
        <w:t>黃良瑩</w:t>
      </w:r>
    </w:p>
    <w:p w14:paraId="64065EBF" w14:textId="77777777" w:rsidR="00E744CB" w:rsidRPr="00134B54" w:rsidRDefault="00E744CB" w:rsidP="00E744CB">
      <w:pPr>
        <w:pStyle w:val="Default"/>
        <w:spacing w:line="360" w:lineRule="exact"/>
        <w:ind w:left="848" w:hangingChars="303" w:hanging="848"/>
        <w:rPr>
          <w:rFonts w:hAnsi="標楷體"/>
          <w:color w:val="auto"/>
          <w:sz w:val="28"/>
          <w:szCs w:val="28"/>
        </w:rPr>
      </w:pPr>
      <w:r w:rsidRPr="00134B54">
        <w:rPr>
          <w:rFonts w:hAnsi="標楷體" w:hint="eastAsia"/>
          <w:color w:val="auto"/>
          <w:sz w:val="28"/>
          <w:szCs w:val="28"/>
        </w:rPr>
        <w:t>主任秘書：</w:t>
      </w:r>
      <w:bookmarkStart w:id="10" w:name="主任秘書"/>
      <w:bookmarkEnd w:id="10"/>
      <w:r w:rsidRPr="00134B54">
        <w:rPr>
          <w:rFonts w:hAnsi="標楷體" w:hint="eastAsia"/>
          <w:color w:val="auto"/>
          <w:sz w:val="28"/>
          <w:szCs w:val="28"/>
        </w:rPr>
        <w:t>張智為</w:t>
      </w:r>
    </w:p>
    <w:p w14:paraId="636DB028" w14:textId="77777777" w:rsidR="00E744CB" w:rsidRPr="00134B54" w:rsidRDefault="00E744CB" w:rsidP="00E744CB">
      <w:pPr>
        <w:pStyle w:val="Default"/>
        <w:tabs>
          <w:tab w:val="left" w:pos="5529"/>
        </w:tabs>
        <w:spacing w:line="360" w:lineRule="exact"/>
        <w:ind w:left="848" w:hangingChars="303" w:hanging="848"/>
        <w:rPr>
          <w:rFonts w:hAnsi="標楷體"/>
          <w:color w:val="auto"/>
          <w:sz w:val="28"/>
          <w:szCs w:val="28"/>
        </w:rPr>
      </w:pPr>
      <w:r w:rsidRPr="00134B54">
        <w:rPr>
          <w:rFonts w:hAnsi="標楷體" w:hint="eastAsia"/>
          <w:color w:val="auto"/>
          <w:sz w:val="28"/>
          <w:szCs w:val="28"/>
        </w:rPr>
        <w:t xml:space="preserve">紀　　錄：簡任秘書　</w:t>
      </w:r>
      <w:bookmarkStart w:id="11" w:name="簡任秘書"/>
      <w:bookmarkEnd w:id="11"/>
      <w:r w:rsidRPr="00134B54">
        <w:rPr>
          <w:rFonts w:hAnsi="標楷體" w:hint="eastAsia"/>
          <w:color w:val="auto"/>
          <w:sz w:val="28"/>
          <w:szCs w:val="28"/>
        </w:rPr>
        <w:t>薛復寧</w:t>
      </w:r>
    </w:p>
    <w:p w14:paraId="020BE885" w14:textId="77777777" w:rsidR="00E744CB" w:rsidRPr="00134B54" w:rsidRDefault="00E744CB" w:rsidP="00E744CB">
      <w:pPr>
        <w:pStyle w:val="Default"/>
        <w:tabs>
          <w:tab w:val="left" w:pos="5529"/>
        </w:tabs>
        <w:spacing w:line="360" w:lineRule="exact"/>
        <w:ind w:leftChars="353" w:left="847" w:firstLineChars="203" w:firstLine="568"/>
        <w:rPr>
          <w:rFonts w:hAnsi="標楷體"/>
          <w:color w:val="auto"/>
          <w:sz w:val="28"/>
          <w:szCs w:val="28"/>
        </w:rPr>
      </w:pPr>
      <w:r w:rsidRPr="00134B54">
        <w:rPr>
          <w:rFonts w:hAnsi="標楷體" w:hint="eastAsia"/>
          <w:color w:val="auto"/>
          <w:sz w:val="28"/>
          <w:szCs w:val="28"/>
        </w:rPr>
        <w:t xml:space="preserve">簡任編審　</w:t>
      </w:r>
      <w:bookmarkStart w:id="12" w:name="簡任編審"/>
      <w:bookmarkEnd w:id="12"/>
      <w:r w:rsidRPr="00134B54">
        <w:rPr>
          <w:rFonts w:hAnsi="標楷體" w:hint="eastAsia"/>
          <w:color w:val="auto"/>
          <w:sz w:val="28"/>
          <w:szCs w:val="28"/>
        </w:rPr>
        <w:t>蔡國治</w:t>
      </w:r>
    </w:p>
    <w:p w14:paraId="1DE3DEB5" w14:textId="77777777" w:rsidR="00E744CB" w:rsidRPr="00134B54" w:rsidRDefault="00E744CB" w:rsidP="00E744CB">
      <w:pPr>
        <w:pStyle w:val="Default"/>
        <w:tabs>
          <w:tab w:val="left" w:pos="5529"/>
        </w:tabs>
        <w:spacing w:line="360" w:lineRule="exact"/>
        <w:ind w:leftChars="353" w:left="847" w:firstLineChars="203" w:firstLine="568"/>
        <w:rPr>
          <w:rFonts w:hAnsi="標楷體"/>
          <w:color w:val="auto"/>
          <w:sz w:val="28"/>
          <w:szCs w:val="28"/>
        </w:rPr>
      </w:pPr>
      <w:r w:rsidRPr="00134B54">
        <w:rPr>
          <w:rFonts w:hAnsi="標楷體" w:hint="eastAsia"/>
          <w:color w:val="auto"/>
          <w:sz w:val="28"/>
          <w:szCs w:val="28"/>
        </w:rPr>
        <w:t xml:space="preserve">科　　長　</w:t>
      </w:r>
      <w:bookmarkStart w:id="13" w:name="科長"/>
      <w:bookmarkEnd w:id="13"/>
      <w:r w:rsidRPr="00134B54">
        <w:rPr>
          <w:rFonts w:hAnsi="標楷體" w:hint="eastAsia"/>
          <w:color w:val="auto"/>
          <w:sz w:val="28"/>
          <w:szCs w:val="28"/>
        </w:rPr>
        <w:t>余俊緯</w:t>
      </w:r>
    </w:p>
    <w:p w14:paraId="49E3758F" w14:textId="77777777" w:rsidR="00E744CB" w:rsidRPr="00134B54" w:rsidRDefault="00E744CB" w:rsidP="00E744CB">
      <w:pPr>
        <w:pStyle w:val="Default"/>
        <w:tabs>
          <w:tab w:val="left" w:pos="5529"/>
        </w:tabs>
        <w:spacing w:line="360" w:lineRule="exact"/>
        <w:ind w:leftChars="353" w:left="847" w:firstLineChars="203" w:firstLine="568"/>
        <w:rPr>
          <w:rFonts w:hAnsi="標楷體"/>
          <w:color w:val="auto"/>
          <w:sz w:val="28"/>
          <w:szCs w:val="28"/>
        </w:rPr>
      </w:pPr>
      <w:r w:rsidRPr="00134B54">
        <w:rPr>
          <w:rFonts w:hAnsi="標楷體" w:hint="eastAsia"/>
          <w:color w:val="auto"/>
          <w:sz w:val="28"/>
          <w:szCs w:val="28"/>
        </w:rPr>
        <w:lastRenderedPageBreak/>
        <w:t xml:space="preserve">專　　員　</w:t>
      </w:r>
      <w:bookmarkStart w:id="14" w:name="專員"/>
      <w:bookmarkEnd w:id="14"/>
      <w:r w:rsidRPr="00134B54">
        <w:rPr>
          <w:rFonts w:hAnsi="標楷體" w:hint="eastAsia"/>
          <w:color w:val="auto"/>
          <w:sz w:val="28"/>
          <w:szCs w:val="28"/>
        </w:rPr>
        <w:t>莊鴻基</w:t>
      </w:r>
    </w:p>
    <w:p w14:paraId="3621DB72" w14:textId="77777777" w:rsidR="00E744CB" w:rsidRPr="00134B54" w:rsidRDefault="00E744CB" w:rsidP="00E744CB">
      <w:pPr>
        <w:pStyle w:val="ab"/>
        <w:spacing w:beforeLines="30" w:before="108" w:line="410" w:lineRule="exact"/>
        <w:ind w:left="561" w:hanging="561"/>
        <w:jc w:val="both"/>
        <w:rPr>
          <w:rFonts w:ascii="標楷體" w:hAnsi="標楷體"/>
          <w:b/>
          <w:bCs/>
          <w:sz w:val="28"/>
          <w:szCs w:val="28"/>
        </w:rPr>
      </w:pPr>
      <w:bookmarkStart w:id="15" w:name="開會事由開頭"/>
      <w:bookmarkEnd w:id="15"/>
      <w:r w:rsidRPr="00134B54">
        <w:rPr>
          <w:rFonts w:ascii="標楷體" w:hAnsi="標楷體" w:cs="標楷體"/>
          <w:b/>
          <w:kern w:val="0"/>
          <w:sz w:val="28"/>
          <w:szCs w:val="28"/>
        </w:rPr>
        <w:t>5</w:t>
      </w:r>
      <w:r w:rsidRPr="00134B54">
        <w:rPr>
          <w:rFonts w:ascii="標楷體" w:hAnsi="標楷體" w:cs="標楷體" w:hint="eastAsia"/>
          <w:b/>
          <w:kern w:val="0"/>
          <w:sz w:val="28"/>
          <w:szCs w:val="28"/>
        </w:rPr>
        <w:t>月</w:t>
      </w:r>
      <w:r w:rsidRPr="00134B54">
        <w:rPr>
          <w:rFonts w:ascii="標楷體" w:hAnsi="標楷體" w:cs="標楷體"/>
          <w:b/>
          <w:kern w:val="0"/>
          <w:sz w:val="28"/>
          <w:szCs w:val="28"/>
        </w:rPr>
        <w:t>18</w:t>
      </w:r>
      <w:r w:rsidRPr="00134B54">
        <w:rPr>
          <w:rFonts w:ascii="標楷體" w:hAnsi="標楷體" w:cs="標楷體" w:hint="eastAsia"/>
          <w:b/>
          <w:kern w:val="0"/>
          <w:sz w:val="28"/>
          <w:szCs w:val="28"/>
        </w:rPr>
        <w:t>日（星期一）</w:t>
      </w:r>
    </w:p>
    <w:p w14:paraId="4BEC7EDA" w14:textId="77777777" w:rsidR="00E744CB" w:rsidRPr="00134B54" w:rsidRDefault="00E744CB" w:rsidP="00E744CB">
      <w:pPr>
        <w:pStyle w:val="ac"/>
        <w:spacing w:beforeLines="30" w:before="108" w:line="410" w:lineRule="exact"/>
        <w:ind w:leftChars="0" w:left="0" w:rightChars="0" w:right="0" w:firstLineChars="398" w:firstLine="1115"/>
        <w:jc w:val="both"/>
        <w:rPr>
          <w:rFonts w:ascii="標楷體" w:hAnsi="標楷體"/>
          <w:b/>
          <w:sz w:val="28"/>
          <w:szCs w:val="28"/>
          <w:lang w:eastAsia="zh-TW"/>
        </w:rPr>
      </w:pPr>
      <w:r w:rsidRPr="00134B54">
        <w:rPr>
          <w:rFonts w:ascii="標楷體" w:hAnsi="標楷體" w:hint="eastAsia"/>
          <w:b/>
          <w:sz w:val="28"/>
          <w:szCs w:val="28"/>
          <w:lang w:eastAsia="zh-TW"/>
        </w:rPr>
        <w:t>報告事項</w:t>
      </w:r>
    </w:p>
    <w:p w14:paraId="4ACB5440" w14:textId="77777777" w:rsidR="00E744CB" w:rsidRPr="00134B54" w:rsidRDefault="00E744CB" w:rsidP="00E744CB">
      <w:pPr>
        <w:pStyle w:val="Default"/>
        <w:spacing w:line="360" w:lineRule="exact"/>
        <w:rPr>
          <w:rFonts w:hAnsi="標楷體"/>
          <w:color w:val="auto"/>
          <w:sz w:val="28"/>
          <w:szCs w:val="28"/>
        </w:rPr>
      </w:pPr>
      <w:r w:rsidRPr="00134B54">
        <w:rPr>
          <w:rFonts w:hAnsi="標楷體" w:hint="eastAsia"/>
          <w:color w:val="auto"/>
          <w:sz w:val="28"/>
          <w:szCs w:val="28"/>
        </w:rPr>
        <w:t>宣讀上次會議議事錄。</w:t>
      </w:r>
    </w:p>
    <w:p w14:paraId="756BFA08" w14:textId="77777777" w:rsidR="00E744CB" w:rsidRPr="00134B54" w:rsidRDefault="00E744CB" w:rsidP="00E744CB">
      <w:pPr>
        <w:pStyle w:val="Default"/>
        <w:spacing w:line="360" w:lineRule="exact"/>
        <w:rPr>
          <w:rFonts w:hAnsi="標楷體"/>
          <w:color w:val="auto"/>
          <w:sz w:val="28"/>
          <w:szCs w:val="28"/>
        </w:rPr>
      </w:pPr>
      <w:r w:rsidRPr="00134B54">
        <w:rPr>
          <w:rFonts w:hAnsi="標楷體" w:hint="eastAsia"/>
          <w:color w:val="auto"/>
          <w:sz w:val="28"/>
          <w:szCs w:val="28"/>
        </w:rPr>
        <w:t>決定：確定。</w:t>
      </w:r>
    </w:p>
    <w:p w14:paraId="4A63FC7E" w14:textId="77777777" w:rsidR="00E744CB" w:rsidRPr="00134B54" w:rsidRDefault="00E744CB" w:rsidP="00E744CB">
      <w:pPr>
        <w:pStyle w:val="ac"/>
        <w:spacing w:beforeLines="30" w:before="108" w:line="410" w:lineRule="exact"/>
        <w:ind w:leftChars="0" w:left="0" w:rightChars="0" w:right="0" w:firstLineChars="398" w:firstLine="1115"/>
        <w:jc w:val="both"/>
        <w:rPr>
          <w:rFonts w:ascii="標楷體" w:hAnsi="標楷體"/>
          <w:b/>
          <w:sz w:val="28"/>
          <w:szCs w:val="28"/>
          <w:lang w:eastAsia="zh-TW"/>
        </w:rPr>
      </w:pPr>
      <w:r w:rsidRPr="00134B54">
        <w:rPr>
          <w:rFonts w:ascii="標楷體" w:hAnsi="標楷體" w:hint="eastAsia"/>
          <w:b/>
          <w:sz w:val="28"/>
          <w:szCs w:val="28"/>
          <w:lang w:eastAsia="zh-TW"/>
        </w:rPr>
        <w:t>討論事項</w:t>
      </w:r>
    </w:p>
    <w:p w14:paraId="78DA43B7" w14:textId="77777777" w:rsidR="00E744CB" w:rsidRPr="00134B54" w:rsidRDefault="00E744CB" w:rsidP="00E744CB">
      <w:pPr>
        <w:kinsoku w:val="0"/>
        <w:spacing w:line="360" w:lineRule="exact"/>
        <w:ind w:left="520" w:hangingChars="200" w:hanging="520"/>
        <w:contextualSpacing/>
        <w:jc w:val="both"/>
        <w:rPr>
          <w:rFonts w:ascii="標楷體" w:eastAsia="標楷體" w:hAnsi="標楷體" w:cs="Times New Roman"/>
          <w:spacing w:val="-10"/>
          <w:sz w:val="28"/>
          <w:szCs w:val="28"/>
        </w:rPr>
      </w:pPr>
      <w:r w:rsidRPr="00134B54">
        <w:rPr>
          <w:rFonts w:ascii="標楷體" w:eastAsia="標楷體" w:hAnsi="標楷體" w:cs="Times New Roman" w:hint="eastAsia"/>
          <w:spacing w:val="-10"/>
          <w:sz w:val="28"/>
          <w:szCs w:val="28"/>
        </w:rPr>
        <w:t>一、繼續審查115年度中央政府總預算案關於司法院及所屬主管收支部分。</w:t>
      </w:r>
    </w:p>
    <w:p w14:paraId="6864AA6E" w14:textId="77777777" w:rsidR="00E744CB" w:rsidRPr="00134B54" w:rsidRDefault="00E744CB" w:rsidP="00E744CB">
      <w:pPr>
        <w:kinsoku w:val="0"/>
        <w:spacing w:line="360" w:lineRule="exact"/>
        <w:ind w:left="536" w:hangingChars="200" w:hanging="536"/>
        <w:contextualSpacing/>
        <w:jc w:val="both"/>
        <w:rPr>
          <w:rFonts w:ascii="標楷體" w:eastAsia="標楷體" w:hAnsi="標楷體" w:cs="Times New Roman"/>
          <w:spacing w:val="-6"/>
          <w:sz w:val="28"/>
          <w:szCs w:val="28"/>
        </w:rPr>
      </w:pPr>
      <w:r w:rsidRPr="00134B54">
        <w:rPr>
          <w:rFonts w:ascii="標楷體" w:eastAsia="標楷體" w:hAnsi="標楷體" w:cs="Times New Roman" w:hint="eastAsia"/>
          <w:spacing w:val="-6"/>
          <w:sz w:val="28"/>
          <w:szCs w:val="28"/>
        </w:rPr>
        <w:t>二、繼續審查司法院函送財團法人法律扶助基金會11</w:t>
      </w:r>
      <w:r w:rsidRPr="00134B54">
        <w:rPr>
          <w:rFonts w:ascii="標楷體" w:eastAsia="標楷體" w:hAnsi="標楷體" w:cs="Times New Roman"/>
          <w:spacing w:val="-6"/>
          <w:sz w:val="28"/>
          <w:szCs w:val="28"/>
        </w:rPr>
        <w:t>5</w:t>
      </w:r>
      <w:r w:rsidRPr="00134B54">
        <w:rPr>
          <w:rFonts w:ascii="標楷體" w:eastAsia="標楷體" w:hAnsi="標楷體" w:cs="Times New Roman" w:hint="eastAsia"/>
          <w:spacing w:val="-6"/>
          <w:sz w:val="28"/>
          <w:szCs w:val="28"/>
        </w:rPr>
        <w:t>年度預算書案。</w:t>
      </w:r>
    </w:p>
    <w:p w14:paraId="78EB2DFA" w14:textId="77777777" w:rsidR="00E744CB" w:rsidRPr="00134B54" w:rsidRDefault="00E744CB" w:rsidP="00E744CB">
      <w:pPr>
        <w:snapToGrid w:val="0"/>
        <w:rPr>
          <w:rFonts w:ascii="標楷體" w:eastAsia="標楷體" w:hAnsi="標楷體"/>
          <w:bCs/>
          <w:sz w:val="28"/>
          <w:szCs w:val="28"/>
        </w:rPr>
      </w:pPr>
      <w:r w:rsidRPr="00134B54">
        <w:rPr>
          <w:rFonts w:ascii="標楷體" w:eastAsia="標楷體" w:hAnsi="標楷體" w:hint="eastAsia"/>
          <w:bCs/>
          <w:sz w:val="28"/>
          <w:szCs w:val="28"/>
        </w:rPr>
        <w:t>決議：</w:t>
      </w:r>
    </w:p>
    <w:p w14:paraId="6E9EB2A4" w14:textId="77777777" w:rsidR="00950D7E" w:rsidRPr="00134B54" w:rsidRDefault="00950D7E" w:rsidP="00950D7E">
      <w:pPr>
        <w:snapToGrid w:val="0"/>
        <w:jc w:val="both"/>
        <w:rPr>
          <w:rFonts w:ascii="標楷體" w:eastAsia="標楷體" w:hAnsi="標楷體"/>
          <w:b/>
          <w:sz w:val="28"/>
          <w:szCs w:val="28"/>
        </w:rPr>
      </w:pPr>
      <w:r w:rsidRPr="00134B54">
        <w:rPr>
          <w:rFonts w:ascii="標楷體" w:eastAsia="標楷體" w:hAnsi="標楷體" w:hint="eastAsia"/>
          <w:b/>
          <w:sz w:val="28"/>
          <w:szCs w:val="28"/>
        </w:rPr>
        <w:t>一、</w:t>
      </w:r>
      <w:r w:rsidRPr="00134B54">
        <w:rPr>
          <w:rFonts w:ascii="標楷體" w:eastAsia="標楷體" w:hAnsi="標楷體" w:cs="Times New Roman" w:hint="eastAsia"/>
          <w:b/>
          <w:spacing w:val="-6"/>
          <w:sz w:val="28"/>
          <w:szCs w:val="28"/>
        </w:rPr>
        <w:t>11</w:t>
      </w:r>
      <w:r w:rsidRPr="00134B54">
        <w:rPr>
          <w:rFonts w:ascii="標楷體" w:eastAsia="標楷體" w:hAnsi="標楷體" w:cs="Times New Roman"/>
          <w:b/>
          <w:spacing w:val="-6"/>
          <w:sz w:val="28"/>
          <w:szCs w:val="28"/>
        </w:rPr>
        <w:t>5</w:t>
      </w:r>
      <w:r w:rsidRPr="00134B54">
        <w:rPr>
          <w:rFonts w:ascii="標楷體" w:eastAsia="標楷體" w:hAnsi="標楷體" w:cs="Times New Roman" w:hint="eastAsia"/>
          <w:b/>
          <w:spacing w:val="-6"/>
          <w:sz w:val="28"/>
          <w:szCs w:val="28"/>
        </w:rPr>
        <w:t>年度中央政府總預算案關於司法院及所屬主管收支部分：</w:t>
      </w:r>
    </w:p>
    <w:p w14:paraId="59382BB9" w14:textId="77777777" w:rsidR="00950D7E" w:rsidRPr="00134B54" w:rsidRDefault="00950D7E" w:rsidP="00950D7E">
      <w:pPr>
        <w:snapToGrid w:val="0"/>
        <w:rPr>
          <w:rFonts w:ascii="標楷體" w:eastAsia="標楷體" w:hAnsi="標楷體"/>
          <w:b/>
          <w:sz w:val="28"/>
          <w:szCs w:val="28"/>
        </w:rPr>
      </w:pPr>
      <w:r w:rsidRPr="00134B54">
        <w:rPr>
          <w:rFonts w:ascii="標楷體" w:eastAsia="標楷體" w:hAnsi="標楷體" w:hint="eastAsia"/>
          <w:b/>
          <w:sz w:val="28"/>
          <w:szCs w:val="28"/>
        </w:rPr>
        <w:t>(一)</w:t>
      </w:r>
      <w:r w:rsidRPr="00134B54">
        <w:rPr>
          <w:rFonts w:ascii="標楷體" w:eastAsia="標楷體" w:hAnsi="標楷體"/>
          <w:b/>
          <w:sz w:val="28"/>
          <w:szCs w:val="28"/>
        </w:rPr>
        <w:t>歲入部分</w:t>
      </w:r>
    </w:p>
    <w:p w14:paraId="556C9AE1" w14:textId="77777777" w:rsidR="00E744CB" w:rsidRPr="00134B54" w:rsidRDefault="00E744CB" w:rsidP="00E744CB">
      <w:pPr>
        <w:snapToGrid w:val="0"/>
        <w:ind w:leftChars="50" w:left="120"/>
        <w:rPr>
          <w:rFonts w:ascii="標楷體" w:eastAsia="標楷體" w:hAnsi="標楷體"/>
          <w:b/>
          <w:color w:val="000000"/>
          <w:sz w:val="28"/>
          <w:szCs w:val="28"/>
        </w:rPr>
      </w:pPr>
      <w:r w:rsidRPr="00134B54">
        <w:rPr>
          <w:rFonts w:ascii="標楷體" w:eastAsia="標楷體" w:hAnsi="標楷體"/>
          <w:b/>
          <w:color w:val="000000"/>
          <w:sz w:val="28"/>
          <w:szCs w:val="28"/>
        </w:rPr>
        <w:t>第2款 罰款及賠償收入</w:t>
      </w:r>
    </w:p>
    <w:p w14:paraId="427E98C8"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第23項 司法院，無列數。</w:t>
      </w:r>
    </w:p>
    <w:p w14:paraId="0DB811D7"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第24項 最高法院，無列數。</w:t>
      </w:r>
    </w:p>
    <w:p w14:paraId="69912F22"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第25項 臺北高等行政法院，無列數。</w:t>
      </w:r>
    </w:p>
    <w:p w14:paraId="01CA16E1"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第26項 臺中高等行政法院，無列數。</w:t>
      </w:r>
    </w:p>
    <w:p w14:paraId="40DC5BF4"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第27項 懲戒法院，無列數。</w:t>
      </w:r>
    </w:p>
    <w:p w14:paraId="60C06B8B"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第28項 法官學院，無列數。</w:t>
      </w:r>
    </w:p>
    <w:p w14:paraId="50EAA46A"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第29項 臺灣高等法院286萬2千元，照列。</w:t>
      </w:r>
    </w:p>
    <w:p w14:paraId="54B24615"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第30項 臺灣高等法院臺中分院56萬元，照列。</w:t>
      </w:r>
    </w:p>
    <w:p w14:paraId="563769B8"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第31項 臺灣高等法院臺南分院10萬元，照列。</w:t>
      </w:r>
    </w:p>
    <w:p w14:paraId="26DFACBC"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第32項 臺灣高等法院高雄分院43萬元，照列。</w:t>
      </w:r>
    </w:p>
    <w:p w14:paraId="6DF2698F"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第33項 臺灣高等法院花蓮分院11萬元，照列。</w:t>
      </w:r>
    </w:p>
    <w:p w14:paraId="07C874CF"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第34項 臺灣臺北地方法院2,170萬8千元，照列。</w:t>
      </w:r>
    </w:p>
    <w:p w14:paraId="3035E55E"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第35項 臺灣士林地方法院503萬6千元，照列。</w:t>
      </w:r>
    </w:p>
    <w:p w14:paraId="1EAD1B85"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第36項 臺灣新北地方法院957萬6千元，照列。</w:t>
      </w:r>
    </w:p>
    <w:p w14:paraId="72058505" w14:textId="7777777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第37項 臺灣桃園地方法院2,076萬元，照列。</w:t>
      </w:r>
    </w:p>
    <w:p w14:paraId="58CD0A80" w14:textId="06DD5EB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第38項 臺灣新竹地方法院413萬2千元，照列。</w:t>
      </w:r>
    </w:p>
    <w:p w14:paraId="758749ED" w14:textId="4B0F478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第39項 臺灣苗栗地方法院185萬2千元，照列。</w:t>
      </w:r>
    </w:p>
    <w:p w14:paraId="24377C01" w14:textId="44F5CF1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第40項 臺灣臺中地方法院1,739萬元，照列。</w:t>
      </w:r>
    </w:p>
    <w:p w14:paraId="25158CBB" w14:textId="7EA1CEF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第41項 臺灣南投地方法院148萬9千元，照列。</w:t>
      </w:r>
    </w:p>
    <w:p w14:paraId="208CF76D" w14:textId="31EEB10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第42項 臺灣彰化地方法院249萬8千元，照列。</w:t>
      </w:r>
    </w:p>
    <w:p w14:paraId="2D0B204F" w14:textId="0C9C2919"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第43項 臺灣雲林地方法院354萬2千元，照列。</w:t>
      </w:r>
    </w:p>
    <w:p w14:paraId="5DE16DA9" w14:textId="1B3BE4E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第44項 臺灣嘉義地方法院143萬4千元，照列。</w:t>
      </w:r>
    </w:p>
    <w:p w14:paraId="63C91535" w14:textId="035021C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第45項 臺灣臺南地方法院732萬元，照列。</w:t>
      </w:r>
    </w:p>
    <w:p w14:paraId="342D32C7" w14:textId="6F6762B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第46項 臺灣橋頭地方法院296萬元，照列。</w:t>
      </w:r>
    </w:p>
    <w:p w14:paraId="6C43160A" w14:textId="0857CAF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第47項 臺灣高雄地方法院462萬元，照列。</w:t>
      </w:r>
    </w:p>
    <w:p w14:paraId="2B112E75" w14:textId="47738D0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lastRenderedPageBreak/>
        <w:t>第48項 臺灣屏東地方法院261萬9千元，照列。</w:t>
      </w:r>
    </w:p>
    <w:p w14:paraId="36F6965E" w14:textId="1325653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第49項 臺灣臺東地方法院87萬元，照列。</w:t>
      </w:r>
    </w:p>
    <w:p w14:paraId="1CA7EA82" w14:textId="4F360229"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第50項 臺灣花蓮地方法院228萬4千元，照列。</w:t>
      </w:r>
    </w:p>
    <w:p w14:paraId="65FDAE3E" w14:textId="6D2F7BC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第51項 臺灣宜蘭地方法院97萬1千元，照列。</w:t>
      </w:r>
    </w:p>
    <w:p w14:paraId="51ACDAE2" w14:textId="50C5742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第52項 臺灣基隆地方法院109萬2千元，照列。</w:t>
      </w:r>
    </w:p>
    <w:p w14:paraId="4205BD22" w14:textId="2D95BAB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第53項 臺灣澎湖地方法院32萬8千元，照列。</w:t>
      </w:r>
    </w:p>
    <w:p w14:paraId="6429F665" w14:textId="46F031C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第54項 臺灣高雄少年及家事法院23萬元，照列。</w:t>
      </w:r>
    </w:p>
    <w:p w14:paraId="07B3AB5E" w14:textId="34E649B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第55項 福建金門地方法院11萬元，照列。</w:t>
      </w:r>
    </w:p>
    <w:p w14:paraId="01A695FA" w14:textId="5E3D381B" w:rsidR="00E744CB" w:rsidRPr="00134B54" w:rsidRDefault="00E744CB" w:rsidP="00E744CB">
      <w:pPr>
        <w:snapToGrid w:val="0"/>
        <w:ind w:leftChars="50" w:left="120"/>
        <w:rPr>
          <w:rFonts w:ascii="標楷體" w:eastAsia="標楷體" w:hAnsi="標楷體"/>
          <w:b/>
          <w:color w:val="000000"/>
          <w:sz w:val="28"/>
          <w:szCs w:val="28"/>
        </w:rPr>
      </w:pPr>
      <w:r w:rsidRPr="00134B54">
        <w:rPr>
          <w:rFonts w:ascii="標楷體" w:eastAsia="標楷體" w:hAnsi="標楷體"/>
          <w:b/>
          <w:color w:val="000000"/>
          <w:sz w:val="28"/>
          <w:szCs w:val="28"/>
        </w:rPr>
        <w:t>第3款 規費收入</w:t>
      </w:r>
    </w:p>
    <w:p w14:paraId="6D9E3F72" w14:textId="4E0A6FB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第14項 司法院6萬7千元，照列。</w:t>
      </w:r>
    </w:p>
    <w:p w14:paraId="016D6487" w14:textId="596A3FB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第15項 最高法院1,517萬7千元，照列。</w:t>
      </w:r>
    </w:p>
    <w:p w14:paraId="5C1BFB91" w14:textId="5AA4317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第16項 最高行政法院71萬7千元，照列。</w:t>
      </w:r>
    </w:p>
    <w:p w14:paraId="680A332A" w14:textId="0D76C96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第17項 臺北高等行政法院1,334萬2千元，照列。</w:t>
      </w:r>
    </w:p>
    <w:p w14:paraId="2118E2AA" w14:textId="1BBDBDB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第18項 臺中高等行政法院323萬2千元，照列。</w:t>
      </w:r>
    </w:p>
    <w:p w14:paraId="59236FB7" w14:textId="6C7E927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第19項 高雄高等行政法院454萬5千元，照列。</w:t>
      </w:r>
    </w:p>
    <w:p w14:paraId="4EC56EE4" w14:textId="22D8861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第20項 懲戒法院1萬5千元，照列。</w:t>
      </w:r>
    </w:p>
    <w:p w14:paraId="679E2A1A" w14:textId="65B79CA9"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第21項 智慧財產及商業法院8,571萬7千元，照列。</w:t>
      </w:r>
    </w:p>
    <w:p w14:paraId="5001E4FF" w14:textId="659C59D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第22項 臺灣高等法院4億0,595萬8千元，照列。</w:t>
      </w:r>
    </w:p>
    <w:p w14:paraId="3A2E89C2" w14:textId="70A5FDA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第23項 臺灣高等法院臺中分院9,358萬3千元，照列。</w:t>
      </w:r>
    </w:p>
    <w:p w14:paraId="2B0077C3" w14:textId="1A20773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第24項 臺灣高等法院臺南分院2,593萬6千元，照列。</w:t>
      </w:r>
    </w:p>
    <w:p w14:paraId="6A8AEDEB" w14:textId="2D9ED76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第25項 臺灣高等法院高雄分院5,808萬6千元，照列。</w:t>
      </w:r>
    </w:p>
    <w:p w14:paraId="41BB6D81" w14:textId="0A2043A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第26項 臺灣高等法院花蓮分院697萬元，照列。</w:t>
      </w:r>
    </w:p>
    <w:p w14:paraId="12CFCEAF" w14:textId="257C6EE9"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第27項 臺灣臺北地方法院14億6,252萬9千元，照列。</w:t>
      </w:r>
    </w:p>
    <w:p w14:paraId="31B79578" w14:textId="46672E3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第28項 臺灣士林地方法院4億7,065萬元，照列。</w:t>
      </w:r>
    </w:p>
    <w:p w14:paraId="7F65FBED" w14:textId="469FF80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第29項 臺灣新北地方法院6億8,094萬6千元，照列。</w:t>
      </w:r>
    </w:p>
    <w:p w14:paraId="01FC4200" w14:textId="5CC71F9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第30項 臺灣桃園地方法院6億2,282萬元，照列。</w:t>
      </w:r>
    </w:p>
    <w:p w14:paraId="5E13F644" w14:textId="01D9331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第31項 臺灣新竹地方法院2億2,070萬5千元，照列。</w:t>
      </w:r>
    </w:p>
    <w:p w14:paraId="0489892B" w14:textId="1B84B42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第32項 臺灣苗栗地方法院8,052萬5千元，照列。</w:t>
      </w:r>
    </w:p>
    <w:p w14:paraId="4CFFFF91" w14:textId="4D426C3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第33項 臺灣臺中地方法院6億9,650萬2千元，照列。</w:t>
      </w:r>
    </w:p>
    <w:p w14:paraId="083ED4DA" w14:textId="3BF8AE7B"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第34項 臺灣南投地方法院7,152萬8千元，照列。</w:t>
      </w:r>
    </w:p>
    <w:p w14:paraId="4E4A6BF1" w14:textId="7D7E3D3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第35項 臺灣彰化地方法院1億8,713萬8千元，照列。</w:t>
      </w:r>
    </w:p>
    <w:p w14:paraId="6EFEB1EE" w14:textId="6F40AE5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第36項 臺灣雲林地方法院9,989萬9千元，照列。</w:t>
      </w:r>
    </w:p>
    <w:p w14:paraId="1F6CFCE6" w14:textId="258ED8C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第37項 臺灣嘉義地方法院1億2,229萬9千元，照列。</w:t>
      </w:r>
    </w:p>
    <w:p w14:paraId="741F415A" w14:textId="1E9856E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第38項 臺灣臺南地方法院3億7,956萬元，照列。</w:t>
      </w:r>
    </w:p>
    <w:p w14:paraId="554BAF6B" w14:textId="27E5B7E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第39項 臺灣橋頭地方法院1億8,437萬7千元，照列。</w:t>
      </w:r>
    </w:p>
    <w:p w14:paraId="32CC3C02" w14:textId="4FDB85D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第40項 臺灣高雄地方法院4億1,976萬3千元，照列。</w:t>
      </w:r>
    </w:p>
    <w:p w14:paraId="33AB6AD8" w14:textId="62F3B9C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第41項 臺灣屏東地方法院1億3,750萬6千元，照列。</w:t>
      </w:r>
    </w:p>
    <w:p w14:paraId="3B2BA478" w14:textId="1423C38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第42項 臺灣臺東地方法院5,033萬2千元，照列。</w:t>
      </w:r>
    </w:p>
    <w:p w14:paraId="3B10F1E0" w14:textId="11E2B29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lastRenderedPageBreak/>
        <w:t>第43項 臺灣花蓮地方法院8,178萬1千元，照列。</w:t>
      </w:r>
    </w:p>
    <w:p w14:paraId="40E9773C" w14:textId="4ED135B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第44項 臺灣宜蘭地方法院8,224萬5千元，照列。</w:t>
      </w:r>
    </w:p>
    <w:p w14:paraId="4B07BDAC" w14:textId="574F9D6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第45項 臺灣基隆地方法院9,701萬2千元，照列。</w:t>
      </w:r>
    </w:p>
    <w:p w14:paraId="24559811" w14:textId="538472B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第46項 臺灣澎湖地方法院1,611萬1千元，照列。</w:t>
      </w:r>
    </w:p>
    <w:p w14:paraId="1B30DB74" w14:textId="3E37DC2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第47項 臺灣高雄少年及家事法院4,206萬9千元，照列。</w:t>
      </w:r>
    </w:p>
    <w:p w14:paraId="0006A995" w14:textId="2D9A2E0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第48項 福建高等法院金門分院164萬5千元，照列。</w:t>
      </w:r>
    </w:p>
    <w:p w14:paraId="0EE3B361" w14:textId="560C2A5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第49項 福建金門地方法院2,504萬4千元，照列。</w:t>
      </w:r>
    </w:p>
    <w:p w14:paraId="2BC1FC7D" w14:textId="3C953F9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第50項 福建連江地方法院199萬9千元，照列。</w:t>
      </w:r>
    </w:p>
    <w:p w14:paraId="44B52CC4" w14:textId="46996D07" w:rsidR="00E744CB" w:rsidRPr="00134B54" w:rsidRDefault="00E744CB" w:rsidP="00E744CB">
      <w:pPr>
        <w:snapToGrid w:val="0"/>
        <w:ind w:leftChars="50" w:left="120"/>
        <w:rPr>
          <w:rFonts w:ascii="標楷體" w:eastAsia="標楷體" w:hAnsi="標楷體"/>
          <w:b/>
          <w:color w:val="000000"/>
          <w:sz w:val="28"/>
          <w:szCs w:val="28"/>
        </w:rPr>
      </w:pPr>
      <w:r w:rsidRPr="00134B54">
        <w:rPr>
          <w:rFonts w:ascii="標楷體" w:eastAsia="標楷體" w:hAnsi="標楷體"/>
          <w:b/>
          <w:color w:val="000000"/>
          <w:sz w:val="28"/>
          <w:szCs w:val="28"/>
        </w:rPr>
        <w:t>第4款 財產收入</w:t>
      </w:r>
    </w:p>
    <w:p w14:paraId="06F88BAD" w14:textId="5E35C0E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第24項 司法院56萬元，照列。</w:t>
      </w:r>
    </w:p>
    <w:p w14:paraId="4F35A9C4" w14:textId="2714B76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第25項 最高法院3萬3千元，照列。</w:t>
      </w:r>
    </w:p>
    <w:p w14:paraId="60CC3225" w14:textId="3E62C7E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第26項 最高行政法院4千元，照列。</w:t>
      </w:r>
    </w:p>
    <w:p w14:paraId="6E9BB57E" w14:textId="06F87AA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第27項 臺北高等行政法院2千元，照列。</w:t>
      </w:r>
    </w:p>
    <w:p w14:paraId="05850560" w14:textId="3D09C85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第28項 臺中高等行政法院4萬2千元，照列。</w:t>
      </w:r>
    </w:p>
    <w:p w14:paraId="3B58A939" w14:textId="409FCE5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第29項 高雄高等行政法院8萬6千元，照列。</w:t>
      </w:r>
    </w:p>
    <w:p w14:paraId="4DBCEA2D" w14:textId="74D492B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第30項 懲戒法院1千元，照列。</w:t>
      </w:r>
    </w:p>
    <w:p w14:paraId="1A0D137B" w14:textId="5E6E27E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第31項 法官學院79萬2千元，照列。</w:t>
      </w:r>
    </w:p>
    <w:p w14:paraId="42FDE273" w14:textId="121EA08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第32項 智慧財產及商業法院16萬2千元，照列。</w:t>
      </w:r>
    </w:p>
    <w:p w14:paraId="3C02422D" w14:textId="5DFA875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第33項 臺灣高等法院126萬3千元，照列。</w:t>
      </w:r>
    </w:p>
    <w:p w14:paraId="6F27CCC1" w14:textId="0C93300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第34項 臺灣高等法院臺中分院8萬元，照列。</w:t>
      </w:r>
    </w:p>
    <w:p w14:paraId="05A75D4F" w14:textId="7B7C2C2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第35項 臺灣高等法院臺南分院4萬元，照列。</w:t>
      </w:r>
    </w:p>
    <w:p w14:paraId="65B6D305" w14:textId="3BD6886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第36項 臺灣高等法院高雄分院16萬元，照列。</w:t>
      </w:r>
    </w:p>
    <w:p w14:paraId="303B12DC" w14:textId="2F5806D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第37項 臺灣高等法院花蓮分院2萬4千元，照列。</w:t>
      </w:r>
    </w:p>
    <w:p w14:paraId="5F0AF53D" w14:textId="3B3306E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第38項 臺灣臺北地方法院73萬2千元，照列。</w:t>
      </w:r>
    </w:p>
    <w:p w14:paraId="2F9C312B" w14:textId="0FF54E5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第39項 臺灣士林地方法院19萬2千元，照列。</w:t>
      </w:r>
    </w:p>
    <w:p w14:paraId="50CA8CE2" w14:textId="5969372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第40項 臺灣新北地方法院9萬5千元，照列。</w:t>
      </w:r>
    </w:p>
    <w:p w14:paraId="3476E7DB" w14:textId="1537F60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第41項 臺灣桃園地方法院270萬元，照列。</w:t>
      </w:r>
    </w:p>
    <w:p w14:paraId="1EE5A0AB" w14:textId="513CCCB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第42項 臺灣新竹地方法院41萬5千元，照列。</w:t>
      </w:r>
    </w:p>
    <w:p w14:paraId="24869679" w14:textId="7E8C2D2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第43項 臺灣苗栗地方法院3萬2千元，照列。</w:t>
      </w:r>
    </w:p>
    <w:p w14:paraId="62AD4453" w14:textId="59BB19C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第44項 臺灣臺中地方法院38萬1千元，照列。</w:t>
      </w:r>
    </w:p>
    <w:p w14:paraId="79D9ADC1" w14:textId="22968D49"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第45項 臺灣南投地方法院11萬7千元，照列。</w:t>
      </w:r>
    </w:p>
    <w:p w14:paraId="04B6F19B" w14:textId="5D75140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第46項 臺灣彰化地方法院2萬5千元，照列。</w:t>
      </w:r>
    </w:p>
    <w:p w14:paraId="6F8DEC57" w14:textId="3F1DB08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第47項 臺灣雲林地方法院22萬5千元，照列。</w:t>
      </w:r>
    </w:p>
    <w:p w14:paraId="7108F75D" w14:textId="178D63A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第48項 臺灣嘉義地方法院7萬2千元，照列。</w:t>
      </w:r>
    </w:p>
    <w:p w14:paraId="2635DA8A" w14:textId="53528C6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第49項 臺灣臺南地方法院72萬元，照列。</w:t>
      </w:r>
    </w:p>
    <w:p w14:paraId="20E038C9" w14:textId="794918C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第50項 臺灣橋頭地方法院109萬8千元，照列。</w:t>
      </w:r>
    </w:p>
    <w:p w14:paraId="0447C5F6" w14:textId="2D53166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第51項 臺灣高雄地方法院32萬9千元，照列。</w:t>
      </w:r>
    </w:p>
    <w:p w14:paraId="678E6439" w14:textId="2BC3E8F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第52項 臺灣屏東地方法院2萬8千元，照列。</w:t>
      </w:r>
    </w:p>
    <w:p w14:paraId="15CDE983" w14:textId="3BD57E9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lastRenderedPageBreak/>
        <w:t>第53項 臺灣臺東地方法院3萬6千元，照列。</w:t>
      </w:r>
    </w:p>
    <w:p w14:paraId="086649B1" w14:textId="5BB0658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第54項 臺灣花蓮地方法院19萬3千元，照列。</w:t>
      </w:r>
    </w:p>
    <w:p w14:paraId="19332769" w14:textId="5673EE9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第55項 臺灣宜蘭地方法院32萬8千元，照列。</w:t>
      </w:r>
    </w:p>
    <w:p w14:paraId="38940C2A" w14:textId="745D5C1B"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第56項 臺灣基隆地方法院4萬4千元，照列。</w:t>
      </w:r>
    </w:p>
    <w:p w14:paraId="3CA374A4" w14:textId="58AA20E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第57項 臺灣澎湖地方法院2萬元，照列。</w:t>
      </w:r>
    </w:p>
    <w:p w14:paraId="11BCA652" w14:textId="5179DB4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第58項 臺灣高雄少年及家事法院7萬1千元，照列。</w:t>
      </w:r>
    </w:p>
    <w:p w14:paraId="1501EF67" w14:textId="61F1BB4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第59項 福建高等法院金門分院1千元，照列。</w:t>
      </w:r>
    </w:p>
    <w:p w14:paraId="11A99059" w14:textId="4D0D5B8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第60項 福建金門地方法院3萬元，照列。</w:t>
      </w:r>
    </w:p>
    <w:p w14:paraId="147CD6A2" w14:textId="619D1E0B"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第61項 福建連江地方法院1千元，照列。</w:t>
      </w:r>
    </w:p>
    <w:p w14:paraId="63967DF6" w14:textId="6D54B0B0" w:rsidR="00E744CB" w:rsidRPr="00134B54" w:rsidRDefault="00E744CB" w:rsidP="00E744CB">
      <w:pPr>
        <w:snapToGrid w:val="0"/>
        <w:ind w:leftChars="50" w:left="120"/>
        <w:rPr>
          <w:rFonts w:ascii="標楷體" w:eastAsia="標楷體" w:hAnsi="標楷體"/>
          <w:b/>
          <w:color w:val="000000"/>
          <w:sz w:val="28"/>
          <w:szCs w:val="28"/>
        </w:rPr>
      </w:pPr>
      <w:r w:rsidRPr="00134B54">
        <w:rPr>
          <w:rFonts w:ascii="標楷體" w:eastAsia="標楷體" w:hAnsi="標楷體"/>
          <w:b/>
          <w:color w:val="000000"/>
          <w:sz w:val="28"/>
          <w:szCs w:val="28"/>
        </w:rPr>
        <w:t>第7款 其他收入</w:t>
      </w:r>
    </w:p>
    <w:p w14:paraId="650B4A12" w14:textId="207B4BB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第24項 司法院327萬8千元，照列。</w:t>
      </w:r>
    </w:p>
    <w:p w14:paraId="35155FD0" w14:textId="559AED6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第25項 最高法院66萬7千元，照列。</w:t>
      </w:r>
    </w:p>
    <w:p w14:paraId="33937578" w14:textId="2FD1B51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第26項 最高行政法院13萬7千元，照列。</w:t>
      </w:r>
    </w:p>
    <w:p w14:paraId="1B1D6FA7" w14:textId="6A1B577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第27項 臺北高等行政法院50萬元，照列。</w:t>
      </w:r>
    </w:p>
    <w:p w14:paraId="35F73803" w14:textId="13D14F5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第28項 臺中高等行政法院94萬2千元，照列。</w:t>
      </w:r>
    </w:p>
    <w:p w14:paraId="5FDE3D15" w14:textId="2FA7C33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第29項 高雄高等行政法院64萬元，照列。</w:t>
      </w:r>
    </w:p>
    <w:p w14:paraId="51F8FEDA" w14:textId="72239E5B"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第30項 懲戒法院6萬2千元，照列。</w:t>
      </w:r>
    </w:p>
    <w:p w14:paraId="5B7F0118" w14:textId="3A70F324"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第31項 法官學院21萬8千元，照列。</w:t>
      </w:r>
    </w:p>
    <w:p w14:paraId="1A2C6F97" w14:textId="6505EDF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第32項 智慧財產及商業法院29萬9千元，照列。</w:t>
      </w:r>
    </w:p>
    <w:p w14:paraId="2F8714C4" w14:textId="349CA17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第33項 臺灣高等法院137萬1千元，照列。</w:t>
      </w:r>
    </w:p>
    <w:p w14:paraId="77EA5E2A" w14:textId="1C98C59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第34項 臺灣高等法院臺中分院246萬8千元，照列。</w:t>
      </w:r>
    </w:p>
    <w:p w14:paraId="2BE1FA91" w14:textId="67D5D11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第35項 臺灣高等法院臺南分院161萬3千元，照列。</w:t>
      </w:r>
    </w:p>
    <w:p w14:paraId="10C24C80" w14:textId="7FBFB28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第36項 臺灣高等法院高雄分院92萬7千元，照列。</w:t>
      </w:r>
    </w:p>
    <w:p w14:paraId="7830B909" w14:textId="6C33E2C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第37項 臺灣高等法院花蓮分院70萬5千元，照列。</w:t>
      </w:r>
    </w:p>
    <w:p w14:paraId="1D905FF7" w14:textId="0B335046"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第38項 臺灣臺北地方法院1億0,822萬8千元，照列。</w:t>
      </w:r>
    </w:p>
    <w:p w14:paraId="4A9B458D" w14:textId="32CB704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第39項 臺灣士林地方法院4,936萬1千元，照列。</w:t>
      </w:r>
    </w:p>
    <w:p w14:paraId="419E2CB4" w14:textId="01359FF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第40項 臺灣新北地方法院4,286萬1千元，照列。</w:t>
      </w:r>
    </w:p>
    <w:p w14:paraId="0147687B" w14:textId="679A094B"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第41項 臺灣桃園地方法院5,058萬元，照列。</w:t>
      </w:r>
    </w:p>
    <w:p w14:paraId="1B637095" w14:textId="2479A92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第42項 臺灣新竹地方法院1,237萬4千元，照列。</w:t>
      </w:r>
    </w:p>
    <w:p w14:paraId="6A5C1C6E" w14:textId="397D43F8"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第43項 臺灣苗栗地方法院378萬7千元，照列。</w:t>
      </w:r>
    </w:p>
    <w:p w14:paraId="15A55218" w14:textId="17A7966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第44項 臺灣臺中地方法院4,288萬1千元，照列。</w:t>
      </w:r>
    </w:p>
    <w:p w14:paraId="1342C259" w14:textId="77FA499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第45項 臺灣南投地方法院335萬元，照列。</w:t>
      </w:r>
    </w:p>
    <w:p w14:paraId="57E683CB" w14:textId="595F4F0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第46項 臺灣彰化地方法院1,911萬3千元，照列。</w:t>
      </w:r>
    </w:p>
    <w:p w14:paraId="386805E1" w14:textId="33CE468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第47項 臺灣雲林地方法院397萬元，照列。</w:t>
      </w:r>
    </w:p>
    <w:p w14:paraId="0B737020" w14:textId="4EEF5D42"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第48項 臺灣嘉義地方法院440萬9千元，照列。</w:t>
      </w:r>
    </w:p>
    <w:p w14:paraId="4FD98278" w14:textId="4F22B650"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第49項 臺灣臺南地方法院1,540萬元，照列。</w:t>
      </w:r>
    </w:p>
    <w:p w14:paraId="01B8F9ED" w14:textId="54A217E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第50項 臺灣橋頭地方法院208萬6千元，照列。</w:t>
      </w:r>
    </w:p>
    <w:p w14:paraId="697C90B3" w14:textId="16A6D207"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第51項 臺灣高雄地方法院2,992萬6千元，照列。</w:t>
      </w:r>
    </w:p>
    <w:p w14:paraId="18D41B68" w14:textId="6241126F"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lastRenderedPageBreak/>
        <w:t>第52項 臺灣屏東地方法院986萬7千元，照列。</w:t>
      </w:r>
    </w:p>
    <w:p w14:paraId="756D04BD" w14:textId="42178A01"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第53項 臺灣臺東地方法院124萬5千元，照列。</w:t>
      </w:r>
    </w:p>
    <w:p w14:paraId="1C161684" w14:textId="105944C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第54項 臺灣花蓮地方法院442萬4千元，照列。</w:t>
      </w:r>
    </w:p>
    <w:p w14:paraId="4BAFA6FC" w14:textId="73FF09BD"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第55項 臺灣宜蘭地方法院726萬元，照列。</w:t>
      </w:r>
    </w:p>
    <w:p w14:paraId="1A25873B" w14:textId="1C4CFE8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第56項 臺灣基隆地方法院685萬8千元，照列。</w:t>
      </w:r>
    </w:p>
    <w:p w14:paraId="50CDB7CB" w14:textId="40D8AABE"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第57項 臺灣澎湖地方法院71萬元，照列。</w:t>
      </w:r>
    </w:p>
    <w:p w14:paraId="531B0D85" w14:textId="3F6D8E1C"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第58項 臺灣高雄少年及家事法院72萬元，照列。</w:t>
      </w:r>
    </w:p>
    <w:p w14:paraId="68F1980B" w14:textId="44D0F4C5"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第59項 福建高等法院金門分院8萬4千元，照列。</w:t>
      </w:r>
    </w:p>
    <w:p w14:paraId="1F4B12B1" w14:textId="3BF2633A"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第60項 福建金門地方法院56萬6千元，照列。</w:t>
      </w:r>
    </w:p>
    <w:p w14:paraId="5CD575FF" w14:textId="567BCD33" w:rsidR="00E744CB" w:rsidRPr="00134B54" w:rsidRDefault="00E744CB" w:rsidP="00E744CB">
      <w:pPr>
        <w:snapToGrid w:val="0"/>
        <w:ind w:leftChars="150" w:left="360"/>
        <w:rPr>
          <w:rFonts w:ascii="標楷體" w:eastAsia="標楷體" w:hAnsi="標楷體"/>
          <w:color w:val="000000"/>
          <w:sz w:val="28"/>
          <w:szCs w:val="28"/>
        </w:rPr>
      </w:pPr>
      <w:r w:rsidRPr="00134B54">
        <w:rPr>
          <w:rFonts w:ascii="標楷體" w:eastAsia="標楷體" w:hAnsi="標楷體"/>
          <w:color w:val="000000"/>
          <w:sz w:val="28"/>
          <w:szCs w:val="28"/>
        </w:rPr>
        <w:t>第61項 福建連江地方法院，無列數。</w:t>
      </w:r>
    </w:p>
    <w:p w14:paraId="1B9E40ED" w14:textId="77777777" w:rsidR="009D1293" w:rsidRPr="00134B54" w:rsidRDefault="009D1293" w:rsidP="009D1293">
      <w:pPr>
        <w:snapToGrid w:val="0"/>
        <w:ind w:leftChars="1" w:left="1179" w:hangingChars="420" w:hanging="1177"/>
        <w:jc w:val="both"/>
        <w:rPr>
          <w:rFonts w:ascii="標楷體" w:eastAsia="標楷體" w:hAnsi="標楷體"/>
          <w:sz w:val="28"/>
          <w:szCs w:val="28"/>
        </w:rPr>
      </w:pPr>
      <w:r w:rsidRPr="00134B54">
        <w:rPr>
          <w:rFonts w:ascii="標楷體" w:eastAsia="標楷體" w:hAnsi="標楷體" w:hint="eastAsia"/>
          <w:b/>
          <w:sz w:val="28"/>
          <w:szCs w:val="28"/>
        </w:rPr>
        <w:t>(二)</w:t>
      </w:r>
      <w:r w:rsidRPr="00134B54">
        <w:rPr>
          <w:rFonts w:ascii="標楷體" w:eastAsia="標楷體" w:hAnsi="標楷體"/>
          <w:b/>
          <w:sz w:val="28"/>
          <w:szCs w:val="28"/>
        </w:rPr>
        <w:t>歲出部分</w:t>
      </w:r>
    </w:p>
    <w:p w14:paraId="6E63AF70" w14:textId="353C562E" w:rsidR="00E744CB" w:rsidRPr="00134B54" w:rsidRDefault="00E744CB" w:rsidP="00E744CB">
      <w:pPr>
        <w:snapToGrid w:val="0"/>
        <w:ind w:leftChars="50" w:left="120"/>
        <w:rPr>
          <w:rFonts w:ascii="標楷體" w:eastAsia="標楷體" w:hAnsi="標楷體"/>
          <w:b/>
          <w:color w:val="000000"/>
          <w:sz w:val="28"/>
          <w:szCs w:val="28"/>
        </w:rPr>
      </w:pPr>
      <w:r w:rsidRPr="00134B54">
        <w:rPr>
          <w:rFonts w:ascii="標楷體" w:eastAsia="標楷體" w:hAnsi="標楷體"/>
          <w:b/>
          <w:color w:val="000000"/>
          <w:sz w:val="28"/>
          <w:szCs w:val="28"/>
        </w:rPr>
        <w:t>第4款 司法院主管</w:t>
      </w:r>
    </w:p>
    <w:p w14:paraId="66C2FBBA" w14:textId="492E39BB"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第1項 司法院</w:t>
      </w:r>
      <w:r w:rsidR="002B7865" w:rsidRPr="00134B54">
        <w:rPr>
          <w:rFonts w:ascii="標楷體" w:eastAsia="標楷體" w:hAnsi="標楷體" w:hint="eastAsia"/>
          <w:color w:val="000000"/>
          <w:sz w:val="28"/>
          <w:szCs w:val="28"/>
        </w:rPr>
        <w:t>原列</w:t>
      </w:r>
      <w:r w:rsidRPr="00134B54">
        <w:rPr>
          <w:rFonts w:ascii="標楷體" w:eastAsia="標楷體" w:hAnsi="標楷體"/>
          <w:sz w:val="28"/>
          <w:szCs w:val="28"/>
        </w:rPr>
        <w:t>40億8,359萬7千元，</w:t>
      </w:r>
      <w:r w:rsidR="002B7865" w:rsidRPr="00134B54">
        <w:rPr>
          <w:rFonts w:ascii="標楷體" w:eastAsia="標楷體" w:hAnsi="標楷體" w:hint="eastAsia"/>
          <w:color w:val="000000"/>
          <w:sz w:val="28"/>
          <w:szCs w:val="28"/>
        </w:rPr>
        <w:t>減列：</w:t>
      </w:r>
    </w:p>
    <w:p w14:paraId="0D6993A7" w14:textId="52796936" w:rsidR="002B7865" w:rsidRPr="00134B54" w:rsidRDefault="002B7865" w:rsidP="00D53392">
      <w:pPr>
        <w:snapToGrid w:val="0"/>
        <w:ind w:leftChars="150" w:left="2040" w:hangingChars="600" w:hanging="1680"/>
        <w:jc w:val="both"/>
        <w:rPr>
          <w:rFonts w:ascii="標楷體" w:eastAsia="標楷體" w:hAnsi="標楷體"/>
          <w:color w:val="000000"/>
          <w:sz w:val="28"/>
          <w:szCs w:val="28"/>
        </w:rPr>
      </w:pPr>
      <w:r w:rsidRPr="00134B54">
        <w:rPr>
          <w:rFonts w:ascii="標楷體" w:eastAsia="標楷體" w:hAnsi="標楷體" w:hint="eastAsia"/>
          <w:color w:val="000000"/>
          <w:sz w:val="28"/>
          <w:szCs w:val="28"/>
        </w:rPr>
        <w:t xml:space="preserve">       （一）「媒體政策及業務宣導費」200萬元</w:t>
      </w:r>
      <w:r w:rsidR="0098637A" w:rsidRPr="00134B54">
        <w:rPr>
          <w:rFonts w:ascii="標楷體" w:eastAsia="標楷體" w:hAnsi="標楷體" w:hint="eastAsia"/>
          <w:color w:val="000000"/>
          <w:sz w:val="28"/>
          <w:szCs w:val="28"/>
        </w:rPr>
        <w:t>(科目自行調整)</w:t>
      </w:r>
      <w:r w:rsidRPr="00134B54">
        <w:rPr>
          <w:rFonts w:ascii="標楷體" w:eastAsia="標楷體" w:hAnsi="標楷體" w:hint="eastAsia"/>
          <w:color w:val="000000"/>
          <w:sz w:val="28"/>
          <w:szCs w:val="28"/>
        </w:rPr>
        <w:t>。</w:t>
      </w:r>
      <w:r w:rsidR="00D53392" w:rsidRPr="00134B54">
        <w:rPr>
          <w:rFonts w:ascii="標楷體" w:eastAsia="標楷體" w:hAnsi="標楷體" w:hint="eastAsia"/>
          <w:color w:val="000000"/>
          <w:sz w:val="28"/>
          <w:szCs w:val="28"/>
        </w:rPr>
        <w:t>【</w:t>
      </w:r>
      <w:r w:rsidR="00D53392" w:rsidRPr="00134B54">
        <w:rPr>
          <w:rFonts w:ascii="標楷體" w:eastAsia="標楷體" w:hAnsi="標楷體"/>
          <w:color w:val="000000"/>
          <w:sz w:val="28"/>
          <w:szCs w:val="28"/>
        </w:rPr>
        <w:t>1</w:t>
      </w:r>
      <w:r w:rsidR="00D53392" w:rsidRPr="00134B54">
        <w:rPr>
          <w:rFonts w:ascii="標楷體" w:eastAsia="標楷體" w:hAnsi="標楷體" w:hint="eastAsia"/>
          <w:color w:val="000000"/>
          <w:sz w:val="28"/>
          <w:szCs w:val="28"/>
        </w:rPr>
        <w:t>】</w:t>
      </w:r>
    </w:p>
    <w:p w14:paraId="7707ED68" w14:textId="49154CF0" w:rsidR="002B7865" w:rsidRPr="00134B54" w:rsidRDefault="002B7865"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hint="eastAsia"/>
          <w:color w:val="000000"/>
          <w:sz w:val="28"/>
          <w:szCs w:val="28"/>
        </w:rPr>
        <w:t xml:space="preserve">       （二）「業務費」1</w:t>
      </w:r>
      <w:r w:rsidRPr="00134B54">
        <w:rPr>
          <w:rFonts w:ascii="標楷體" w:eastAsia="標楷體" w:hAnsi="標楷體"/>
          <w:color w:val="000000"/>
          <w:sz w:val="28"/>
          <w:szCs w:val="28"/>
        </w:rPr>
        <w:t>,</w:t>
      </w:r>
      <w:r w:rsidRPr="00134B54">
        <w:rPr>
          <w:rFonts w:ascii="標楷體" w:eastAsia="標楷體" w:hAnsi="標楷體" w:hint="eastAsia"/>
          <w:color w:val="000000"/>
          <w:sz w:val="28"/>
          <w:szCs w:val="28"/>
        </w:rPr>
        <w:t>500萬元</w:t>
      </w:r>
      <w:r w:rsidR="00333374" w:rsidRPr="00134B54">
        <w:rPr>
          <w:rFonts w:ascii="標楷體" w:eastAsia="標楷體" w:hAnsi="標楷體" w:hint="eastAsia"/>
          <w:color w:val="000000"/>
          <w:sz w:val="28"/>
          <w:szCs w:val="28"/>
        </w:rPr>
        <w:t>(科目自行調整)</w:t>
      </w:r>
      <w:r w:rsidRPr="00134B54">
        <w:rPr>
          <w:rFonts w:ascii="標楷體" w:eastAsia="標楷體" w:hAnsi="標楷體" w:hint="eastAsia"/>
          <w:color w:val="000000"/>
          <w:sz w:val="28"/>
          <w:szCs w:val="28"/>
        </w:rPr>
        <w:t>。</w:t>
      </w:r>
      <w:r w:rsidR="00D53392" w:rsidRPr="00134B54">
        <w:rPr>
          <w:rFonts w:ascii="標楷體" w:eastAsia="標楷體" w:hAnsi="標楷體" w:hint="eastAsia"/>
          <w:color w:val="000000"/>
          <w:sz w:val="28"/>
          <w:szCs w:val="28"/>
        </w:rPr>
        <w:t>【</w:t>
      </w:r>
      <w:r w:rsidR="00D53392" w:rsidRPr="00134B54">
        <w:rPr>
          <w:rFonts w:ascii="標楷體" w:eastAsia="標楷體" w:hAnsi="標楷體"/>
          <w:color w:val="000000"/>
          <w:sz w:val="28"/>
          <w:szCs w:val="28"/>
        </w:rPr>
        <w:t>5-11</w:t>
      </w:r>
      <w:r w:rsidR="00D53392" w:rsidRPr="00134B54">
        <w:rPr>
          <w:rFonts w:ascii="標楷體" w:eastAsia="標楷體" w:hAnsi="標楷體" w:hint="eastAsia"/>
          <w:color w:val="000000"/>
          <w:sz w:val="28"/>
          <w:szCs w:val="28"/>
        </w:rPr>
        <w:t>】</w:t>
      </w:r>
    </w:p>
    <w:p w14:paraId="1A99CF44" w14:textId="063D2011" w:rsidR="002B7865" w:rsidRPr="00134B54" w:rsidRDefault="002B7865"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hint="eastAsia"/>
          <w:color w:val="000000"/>
          <w:sz w:val="28"/>
          <w:szCs w:val="28"/>
        </w:rPr>
        <w:t xml:space="preserve">       （三）第1目「一般行政」</w:t>
      </w:r>
      <w:r w:rsidR="00333374" w:rsidRPr="00134B54">
        <w:rPr>
          <w:rFonts w:ascii="標楷體" w:eastAsia="標楷體" w:hAnsi="標楷體" w:hint="eastAsia"/>
          <w:color w:val="000000"/>
          <w:sz w:val="28"/>
          <w:szCs w:val="28"/>
        </w:rPr>
        <w:t>2</w:t>
      </w:r>
      <w:r w:rsidRPr="00134B54">
        <w:rPr>
          <w:rFonts w:ascii="標楷體" w:eastAsia="標楷體" w:hAnsi="標楷體" w:hint="eastAsia"/>
          <w:color w:val="000000"/>
          <w:sz w:val="28"/>
          <w:szCs w:val="28"/>
        </w:rPr>
        <w:t>00萬元</w:t>
      </w:r>
      <w:r w:rsidR="00D53392" w:rsidRPr="00134B54">
        <w:rPr>
          <w:rFonts w:ascii="標楷體" w:eastAsia="標楷體" w:hAnsi="標楷體" w:hint="eastAsia"/>
          <w:color w:val="000000"/>
          <w:sz w:val="28"/>
          <w:szCs w:val="28"/>
        </w:rPr>
        <w:t>(科目自行調整)</w:t>
      </w:r>
      <w:r w:rsidRPr="00134B54">
        <w:rPr>
          <w:rFonts w:ascii="標楷體" w:eastAsia="標楷體" w:hAnsi="標楷體" w:hint="eastAsia"/>
          <w:color w:val="000000"/>
          <w:sz w:val="28"/>
          <w:szCs w:val="28"/>
        </w:rPr>
        <w:t>。</w:t>
      </w:r>
      <w:r w:rsidR="00D53392" w:rsidRPr="00134B54">
        <w:rPr>
          <w:rFonts w:ascii="標楷體" w:eastAsia="標楷體" w:hAnsi="標楷體" w:hint="eastAsia"/>
          <w:color w:val="000000"/>
          <w:sz w:val="28"/>
          <w:szCs w:val="28"/>
        </w:rPr>
        <w:t>【</w:t>
      </w:r>
      <w:r w:rsidR="00D53392" w:rsidRPr="00134B54">
        <w:rPr>
          <w:rFonts w:ascii="標楷體" w:eastAsia="標楷體" w:hAnsi="標楷體"/>
          <w:color w:val="000000"/>
          <w:sz w:val="28"/>
          <w:szCs w:val="28"/>
        </w:rPr>
        <w:t>24</w:t>
      </w:r>
      <w:r w:rsidR="00D53392" w:rsidRPr="00134B54">
        <w:rPr>
          <w:rFonts w:ascii="標楷體" w:eastAsia="標楷體" w:hAnsi="標楷體" w:hint="eastAsia"/>
          <w:color w:val="000000"/>
          <w:sz w:val="28"/>
          <w:szCs w:val="28"/>
        </w:rPr>
        <w:t>】</w:t>
      </w:r>
    </w:p>
    <w:p w14:paraId="1BF42CD8" w14:textId="4DD7B9CF" w:rsidR="00333374" w:rsidRPr="00134B54" w:rsidRDefault="00333374" w:rsidP="00333374">
      <w:pPr>
        <w:snapToGrid w:val="0"/>
        <w:ind w:leftChars="150" w:left="1480" w:hangingChars="400" w:hanging="1120"/>
        <w:jc w:val="both"/>
        <w:rPr>
          <w:rFonts w:ascii="標楷體" w:eastAsia="標楷體" w:hAnsi="標楷體"/>
          <w:color w:val="000000"/>
          <w:sz w:val="28"/>
          <w:szCs w:val="28"/>
        </w:rPr>
      </w:pPr>
      <w:r w:rsidRPr="00134B54">
        <w:rPr>
          <w:rFonts w:ascii="標楷體" w:eastAsia="標楷體" w:hAnsi="標楷體" w:hint="eastAsia"/>
          <w:color w:val="000000"/>
          <w:sz w:val="28"/>
          <w:szCs w:val="28"/>
        </w:rPr>
        <w:t xml:space="preserve">        以上共計減列1</w:t>
      </w:r>
      <w:r w:rsidRPr="00134B54">
        <w:rPr>
          <w:rFonts w:ascii="標楷體" w:eastAsia="標楷體" w:hAnsi="標楷體"/>
          <w:color w:val="000000"/>
          <w:sz w:val="28"/>
          <w:szCs w:val="28"/>
        </w:rPr>
        <w:t>,</w:t>
      </w:r>
      <w:r w:rsidRPr="00134B54">
        <w:rPr>
          <w:rFonts w:ascii="標楷體" w:eastAsia="標楷體" w:hAnsi="標楷體" w:hint="eastAsia"/>
          <w:color w:val="000000"/>
          <w:sz w:val="28"/>
          <w:szCs w:val="28"/>
        </w:rPr>
        <w:t>900萬元，其餘均照列，改列為</w:t>
      </w:r>
      <w:r w:rsidRPr="00134B54">
        <w:rPr>
          <w:rFonts w:ascii="標楷體" w:eastAsia="標楷體" w:hAnsi="標楷體"/>
          <w:color w:val="000000"/>
          <w:sz w:val="28"/>
          <w:szCs w:val="28"/>
        </w:rPr>
        <w:t>40</w:t>
      </w:r>
      <w:r w:rsidRPr="00134B54">
        <w:rPr>
          <w:rFonts w:ascii="標楷體" w:eastAsia="標楷體" w:hAnsi="標楷體" w:hint="eastAsia"/>
          <w:color w:val="000000"/>
          <w:sz w:val="28"/>
          <w:szCs w:val="28"/>
        </w:rPr>
        <w:t>億</w:t>
      </w:r>
      <w:r w:rsidRPr="00134B54">
        <w:rPr>
          <w:rFonts w:ascii="標楷體" w:eastAsia="標楷體" w:hAnsi="標楷體"/>
          <w:color w:val="000000"/>
          <w:sz w:val="28"/>
          <w:szCs w:val="28"/>
        </w:rPr>
        <w:t>6</w:t>
      </w:r>
      <w:r w:rsidRPr="00134B54">
        <w:rPr>
          <w:rFonts w:ascii="標楷體" w:eastAsia="標楷體" w:hAnsi="標楷體" w:hint="eastAsia"/>
          <w:color w:val="000000"/>
          <w:sz w:val="28"/>
          <w:szCs w:val="28"/>
        </w:rPr>
        <w:t>,</w:t>
      </w:r>
      <w:r w:rsidRPr="00134B54">
        <w:rPr>
          <w:rFonts w:ascii="標楷體" w:eastAsia="標楷體" w:hAnsi="標楷體"/>
          <w:color w:val="000000"/>
          <w:sz w:val="28"/>
          <w:szCs w:val="28"/>
        </w:rPr>
        <w:t>459</w:t>
      </w:r>
      <w:r w:rsidRPr="00134B54">
        <w:rPr>
          <w:rFonts w:ascii="標楷體" w:eastAsia="標楷體" w:hAnsi="標楷體" w:hint="eastAsia"/>
          <w:color w:val="000000"/>
          <w:sz w:val="28"/>
          <w:szCs w:val="28"/>
        </w:rPr>
        <w:t xml:space="preserve"> 萬</w:t>
      </w:r>
      <w:r w:rsidRPr="00134B54">
        <w:rPr>
          <w:rFonts w:ascii="標楷體" w:eastAsia="標楷體" w:hAnsi="標楷體"/>
          <w:color w:val="000000"/>
          <w:sz w:val="28"/>
          <w:szCs w:val="28"/>
        </w:rPr>
        <w:t>7</w:t>
      </w:r>
      <w:r w:rsidRPr="00134B54">
        <w:rPr>
          <w:rFonts w:ascii="標楷體" w:eastAsia="標楷體" w:hAnsi="標楷體" w:hint="eastAsia"/>
          <w:color w:val="000000"/>
          <w:sz w:val="28"/>
          <w:szCs w:val="28"/>
        </w:rPr>
        <w:t>千元。</w:t>
      </w:r>
    </w:p>
    <w:p w14:paraId="6C73CE46" w14:textId="4860B51D"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本項提案</w:t>
      </w:r>
      <w:r w:rsidR="00C632A4" w:rsidRPr="00134B54">
        <w:rPr>
          <w:rFonts w:ascii="標楷體" w:eastAsia="標楷體" w:hAnsi="標楷體" w:hint="eastAsia"/>
          <w:b/>
          <w:bCs/>
          <w:sz w:val="28"/>
          <w:szCs w:val="28"/>
        </w:rPr>
        <w:t>4</w:t>
      </w:r>
      <w:r w:rsidRPr="00134B54">
        <w:rPr>
          <w:rFonts w:ascii="標楷體" w:eastAsia="標楷體" w:hAnsi="標楷體"/>
          <w:b/>
          <w:bCs/>
          <w:sz w:val="28"/>
          <w:szCs w:val="28"/>
        </w:rPr>
        <w:t>案，保留，送院會處理：</w:t>
      </w:r>
    </w:p>
    <w:p w14:paraId="3738CAFD" w14:textId="77777777" w:rsidR="00511316" w:rsidRPr="00134B54" w:rsidRDefault="00D04F8F" w:rsidP="000A1F68">
      <w:pPr>
        <w:pStyle w:val="a"/>
        <w:ind w:left="924" w:hanging="567"/>
      </w:pPr>
      <w:r w:rsidRPr="00134B54">
        <w:t>115年度司法院預算案於「司法院」派員出國考察計畫編列預算1,041萬1千元。</w:t>
      </w:r>
    </w:p>
    <w:p w14:paraId="0034773E" w14:textId="77777777" w:rsidR="00511316" w:rsidRPr="00134B54" w:rsidRDefault="00D04F8F" w:rsidP="00F10AE7">
      <w:pPr>
        <w:pStyle w:val="a"/>
        <w:numPr>
          <w:ilvl w:val="0"/>
          <w:numId w:val="0"/>
        </w:numPr>
        <w:ind w:left="924" w:firstLineChars="200" w:firstLine="560"/>
      </w:pPr>
      <w:r w:rsidRPr="00134B54">
        <w:t>查司法院法定預算出國考察計畫，111年至113年共計有41件計畫，惟公布之考察報告僅有14案；司法院因應國民法官法之施行，派員考察日本裁判員制度多次，考察團111年5團、112年4團、113年2團，亦未見任何考察報告揭露於眾，115年再計畫2團考察，已違反《司法院及所屬機關因公派員出國案件處理要點》，公出國人員應於返國之日起算三個月內繳交出國報告之規定。此外，115年大法官擬赴美國、波蘭及日本進行違憲審查法制相關考察，3件計畫計312萬4千元，然該三國之違憲審查制度未有變革，考察之必要性恐有待斟酌。</w:t>
      </w:r>
    </w:p>
    <w:p w14:paraId="2547B12B" w14:textId="18D00AA1" w:rsidR="00D04F8F" w:rsidRPr="00134B54" w:rsidRDefault="00D04F8F" w:rsidP="00F10AE7">
      <w:pPr>
        <w:pStyle w:val="a"/>
        <w:numPr>
          <w:ilvl w:val="0"/>
          <w:numId w:val="0"/>
        </w:numPr>
        <w:ind w:left="924" w:firstLineChars="200" w:firstLine="560"/>
      </w:pPr>
      <w:r w:rsidRPr="00134B54">
        <w:t>爰該項預算之115年大法官違憲審查法制考察計畫312萬4千元，全數凍結，俟大法官補足十人以上審議人數後，始得動支；並減列200萬元，凍結50%，俟司法院於1個月內完整公布歷次出國考察報告後，向立法院司法及法制委員會提出書面報告，經同意後始得動支。</w:t>
      </w:r>
      <w:bookmarkStart w:id="16" w:name="_Hlk230030911"/>
      <w:r w:rsidRPr="00134B54">
        <w:t>【2】</w:t>
      </w:r>
      <w:bookmarkEnd w:id="16"/>
    </w:p>
    <w:p w14:paraId="4A6480A2" w14:textId="77777777" w:rsidR="00D04F8F" w:rsidRPr="00134B54" w:rsidRDefault="00D04F8F" w:rsidP="00D04F8F">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4457D3E7" w14:textId="2A7B9417" w:rsidR="00E744CB" w:rsidRPr="00134B54" w:rsidRDefault="00D04F8F" w:rsidP="00D04F8F">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連署人：許宇甄　陳昭姿</w:t>
      </w:r>
    </w:p>
    <w:p w14:paraId="30FD56DD" w14:textId="77777777" w:rsidR="00F10AE7" w:rsidRPr="00134B54" w:rsidRDefault="00247D79" w:rsidP="00B06C54">
      <w:pPr>
        <w:pStyle w:val="a"/>
        <w:ind w:left="924" w:hanging="567"/>
      </w:pPr>
      <w:r w:rsidRPr="00134B54">
        <w:t>115年度司法院預算案於第1目「一般行政」編列司法政策、法律教育推廣宣導之相關媒體宣導製作、託播及刊登編列預算2,100萬元。</w:t>
      </w:r>
    </w:p>
    <w:p w14:paraId="76BBFE24" w14:textId="77777777" w:rsidR="00F10AE7" w:rsidRPr="00134B54" w:rsidRDefault="00247D79" w:rsidP="00F10AE7">
      <w:pPr>
        <w:pStyle w:val="a"/>
        <w:numPr>
          <w:ilvl w:val="0"/>
          <w:numId w:val="0"/>
        </w:numPr>
        <w:ind w:left="924" w:firstLineChars="200" w:firstLine="560"/>
      </w:pPr>
      <w:r w:rsidRPr="00134B54">
        <w:t>按媒體政策及業務宣傳費非屬必要業務支出，理應考量政府財政狀況，樽節支出。經查，115年中央政府總預算債務舉借2,992億元，連同特別預算1,008億元，合計舉債已高達近4千億元；依財政部國庫署公布，截至115年4月24日，我國中央政府1年以上債務未償餘額為新臺幣5兆9,929億元，短期債務3,600億元，合計債務餘額6兆3,529億元，平均每人負擔債務為27.3萬元，除此之外，亦有潛藏債務問題。</w:t>
      </w:r>
    </w:p>
    <w:p w14:paraId="6F6843D9" w14:textId="1F1E2E5E" w:rsidR="00247D79" w:rsidRPr="00134B54" w:rsidRDefault="00247D79" w:rsidP="00F10AE7">
      <w:pPr>
        <w:pStyle w:val="a"/>
        <w:numPr>
          <w:ilvl w:val="0"/>
          <w:numId w:val="0"/>
        </w:numPr>
        <w:ind w:left="924" w:firstLineChars="200" w:firstLine="560"/>
      </w:pPr>
      <w:r w:rsidRPr="00134B54">
        <w:t>又，司法院媒體宣傳與法治教育宣導成效，無可資評估的具體成效報告，且與教育部、法務部法治教育宣導經費重複性甚高，司法院媒宣費宜聚焦於審判本業。115年</w:t>
      </w:r>
      <w:r w:rsidR="00C2430C" w:rsidRPr="00134B54">
        <w:rPr>
          <w:rFonts w:hint="eastAsia"/>
        </w:rPr>
        <w:t>度一般行政</w:t>
      </w:r>
      <w:r w:rsidRPr="00134B54">
        <w:t>編列「媒體政策及業務宣導費」預算，較114年法定預算9400千元費，漲幅達223%，為樽節經費，爰減列該項預算1,500萬元。【12】</w:t>
      </w:r>
    </w:p>
    <w:p w14:paraId="0DFFC3E9"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280B80A9"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連署人：許宇甄　陳昭姿</w:t>
      </w:r>
    </w:p>
    <w:p w14:paraId="6BBA3F71" w14:textId="77777777" w:rsidR="00617AD6" w:rsidRPr="00134B54" w:rsidRDefault="00247D79" w:rsidP="00B06C54">
      <w:pPr>
        <w:pStyle w:val="a"/>
        <w:ind w:left="924" w:hanging="567"/>
      </w:pPr>
      <w:r w:rsidRPr="00134B54">
        <w:t>115年度司法院預算案於第1目「一般行政」項下「基本行政工作維持」中「業務費」之「特別費」編列2,190千元，作為喪喜慶之禮金及招待、餽(捐)贈及慰問等支出。</w:t>
      </w:r>
    </w:p>
    <w:p w14:paraId="4FCCB262" w14:textId="1213FD1B" w:rsidR="00247D79" w:rsidRPr="00134B54" w:rsidRDefault="00247D79" w:rsidP="00617AD6">
      <w:pPr>
        <w:pStyle w:val="a"/>
        <w:numPr>
          <w:ilvl w:val="0"/>
          <w:numId w:val="0"/>
        </w:numPr>
        <w:ind w:left="924" w:firstLineChars="200" w:firstLine="560"/>
      </w:pPr>
      <w:r w:rsidRPr="00134B54">
        <w:t>115年度中央政府總預算債務舉借高達4千億元，已對教育、社會福利、交通建設與經濟發展等，造成嚴重的排擠效果，而特別費非屬施政計畫執行之必要項目，爰為樽節經費，降低國家財政負擔，該項支出刪減50%，並凍結院長、副院長特別費(</w:t>
      </w:r>
      <w:r w:rsidR="00361EFD" w:rsidRPr="00134B54">
        <w:rPr>
          <w:rFonts w:hint="eastAsia"/>
        </w:rPr>
        <w:t>74萬元</w:t>
      </w:r>
      <w:r w:rsidRPr="00134B54">
        <w:t>)，待新任院長、副院長就任後，始予</w:t>
      </w:r>
      <w:r w:rsidR="00361EFD" w:rsidRPr="00134B54">
        <w:rPr>
          <w:rFonts w:hint="eastAsia"/>
        </w:rPr>
        <w:t>動支</w:t>
      </w:r>
      <w:r w:rsidRPr="00134B54">
        <w:t>。【17】</w:t>
      </w:r>
    </w:p>
    <w:p w14:paraId="7AE43E4D"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213714F9"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連署人：許宇甄　陳昭姿</w:t>
      </w:r>
    </w:p>
    <w:p w14:paraId="12970ABE" w14:textId="77777777" w:rsidR="006B5D57" w:rsidRPr="00134B54" w:rsidRDefault="00247D79" w:rsidP="00B06C54">
      <w:pPr>
        <w:pStyle w:val="a"/>
        <w:ind w:left="924" w:hanging="567"/>
      </w:pPr>
      <w:r w:rsidRPr="00134B54">
        <w:t>115年度司法院預算案於第2目「憲法訴訟業務」項下「辦理憲法訴訟審判業務」編列預算491萬6千元。</w:t>
      </w:r>
    </w:p>
    <w:p w14:paraId="1A7EF28E" w14:textId="10E093E9" w:rsidR="00247D79" w:rsidRPr="00134B54" w:rsidRDefault="00247D79" w:rsidP="006B5D57">
      <w:pPr>
        <w:pStyle w:val="a"/>
        <w:numPr>
          <w:ilvl w:val="0"/>
          <w:numId w:val="0"/>
        </w:numPr>
        <w:ind w:left="924" w:firstLineChars="200" w:firstLine="560"/>
      </w:pPr>
      <w:r w:rsidRPr="00134B54">
        <w:t>依據《憲法訴訟法》規定，判決應經大法官現有總額三分之二以上參與評議，大法官現有總額過半數同意作成；參與評議之大法官人數不得低於十人。目前大法官現有人數八人，理應待人數補足後，方可做出憲法判決。惟司法院五位大法官卻公然違背法律，做出憲法判決，僭越憲法賦予的權力，且有三名大法官拒絕參與評議，難以滿足審判組織的民主正當性，此</w:t>
      </w:r>
      <w:r w:rsidRPr="00134B54">
        <w:lastRenderedPageBreak/>
        <w:t>舉已嚴重破壞了權力分立原則，將大法官的憲法審判權置於民主機制之上，爰凍結該項預算70%，俟大法官補足十人以上審議人數後，始得動支。【28】</w:t>
      </w:r>
    </w:p>
    <w:p w14:paraId="132BE31E"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w:t>
      </w:r>
      <w:bookmarkStart w:id="17" w:name="_Hlk229996800"/>
      <w:r w:rsidRPr="00134B54">
        <w:rPr>
          <w:rFonts w:ascii="標楷體" w:eastAsia="標楷體" w:hAnsi="標楷體"/>
          <w:color w:val="000000"/>
          <w:sz w:val="28"/>
          <w:szCs w:val="28"/>
        </w:rPr>
        <w:t>翁曉玲</w:t>
      </w:r>
      <w:bookmarkEnd w:id="17"/>
    </w:p>
    <w:p w14:paraId="15B4ABDA" w14:textId="77777777" w:rsidR="00247D79" w:rsidRPr="00134B54" w:rsidRDefault="00247D79" w:rsidP="00247D79">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連署人：許宇甄　陳昭姿</w:t>
      </w:r>
    </w:p>
    <w:p w14:paraId="4F8B2D25" w14:textId="7D706F55"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F608E8" w:rsidRPr="00134B54">
        <w:rPr>
          <w:rFonts w:ascii="標楷體" w:eastAsia="標楷體" w:hAnsi="標楷體" w:hint="eastAsia"/>
          <w:b/>
          <w:bCs/>
          <w:sz w:val="28"/>
          <w:szCs w:val="28"/>
        </w:rPr>
        <w:t>38</w:t>
      </w:r>
      <w:r w:rsidRPr="00134B54">
        <w:rPr>
          <w:rFonts w:ascii="標楷體" w:eastAsia="標楷體" w:hAnsi="標楷體"/>
          <w:b/>
          <w:bCs/>
          <w:sz w:val="28"/>
          <w:szCs w:val="28"/>
        </w:rPr>
        <w:t>項：</w:t>
      </w:r>
    </w:p>
    <w:p w14:paraId="65ABEA95" w14:textId="4B06B2E1" w:rsidR="00DD20C8" w:rsidRPr="00134B54" w:rsidRDefault="00DD20C8" w:rsidP="00BF5B2C">
      <w:pPr>
        <w:pStyle w:val="a"/>
        <w:numPr>
          <w:ilvl w:val="0"/>
          <w:numId w:val="14"/>
        </w:numPr>
        <w:ind w:left="924" w:hanging="567"/>
        <w:rPr>
          <w:color w:val="auto"/>
        </w:rPr>
      </w:pPr>
      <w:r w:rsidRPr="00134B54">
        <w:rPr>
          <w:color w:val="auto"/>
        </w:rPr>
        <w:t>11</w:t>
      </w:r>
      <w:r w:rsidR="0001430C" w:rsidRPr="00134B54">
        <w:rPr>
          <w:color w:val="auto"/>
        </w:rPr>
        <w:t>5</w:t>
      </w:r>
      <w:r w:rsidRPr="00134B54">
        <w:rPr>
          <w:color w:val="auto"/>
        </w:rPr>
        <w:t>年度司法院歲出預算</w:t>
      </w:r>
      <w:r w:rsidRPr="00134B54">
        <w:rPr>
          <w:rFonts w:hint="eastAsia"/>
          <w:color w:val="auto"/>
        </w:rPr>
        <w:t>「</w:t>
      </w:r>
      <w:r w:rsidR="0001430C" w:rsidRPr="00134B54">
        <w:rPr>
          <w:rFonts w:hint="eastAsia"/>
          <w:color w:val="auto"/>
        </w:rPr>
        <w:t>媒體政策及業務宣導費</w:t>
      </w:r>
      <w:r w:rsidRPr="00134B54">
        <w:rPr>
          <w:rFonts w:hint="eastAsia"/>
          <w:color w:val="auto"/>
        </w:rPr>
        <w:t>」</w:t>
      </w:r>
      <w:r w:rsidRPr="00134B54">
        <w:rPr>
          <w:color w:val="auto"/>
        </w:rPr>
        <w:t>編列</w:t>
      </w:r>
      <w:r w:rsidR="0001430C" w:rsidRPr="00134B54">
        <w:rPr>
          <w:rFonts w:hint="eastAsia"/>
          <w:color w:val="auto"/>
        </w:rPr>
        <w:t>2,280萬元</w:t>
      </w:r>
      <w:r w:rsidRPr="00134B54">
        <w:rPr>
          <w:color w:val="auto"/>
        </w:rPr>
        <w:t>，凍結</w:t>
      </w:r>
      <w:r w:rsidR="00E04C2E" w:rsidRPr="00134B54">
        <w:rPr>
          <w:rFonts w:hint="eastAsia"/>
          <w:color w:val="auto"/>
        </w:rPr>
        <w:t>2</w:t>
      </w:r>
      <w:r w:rsidR="00E04C2E" w:rsidRPr="00134B54">
        <w:rPr>
          <w:color w:val="auto"/>
        </w:rPr>
        <w:t>28</w:t>
      </w:r>
      <w:r w:rsidRPr="00134B54">
        <w:rPr>
          <w:color w:val="auto"/>
        </w:rPr>
        <w:t>萬元，俟向立法院司法及法制委員會提出書面報告後，始得動支。</w:t>
      </w:r>
      <w:r w:rsidR="00A65067" w:rsidRPr="00134B54">
        <w:rPr>
          <w:color w:val="auto"/>
        </w:rPr>
        <w:t>【1】</w:t>
      </w:r>
    </w:p>
    <w:p w14:paraId="0F53403B" w14:textId="432E78DD" w:rsidR="00DD20C8" w:rsidRPr="00134B54" w:rsidRDefault="00DD20C8" w:rsidP="00DD20C8">
      <w:pPr>
        <w:snapToGrid w:val="0"/>
        <w:ind w:leftChars="1500" w:left="4776" w:hangingChars="420" w:hanging="1176"/>
        <w:jc w:val="both"/>
        <w:rPr>
          <w:rFonts w:ascii="標楷體" w:eastAsia="標楷體" w:hAnsi="標楷體"/>
          <w:sz w:val="28"/>
          <w:szCs w:val="28"/>
        </w:rPr>
      </w:pPr>
      <w:r w:rsidRPr="00134B54">
        <w:rPr>
          <w:rFonts w:ascii="標楷體" w:eastAsia="標楷體" w:hAnsi="標楷體"/>
          <w:sz w:val="28"/>
          <w:szCs w:val="28"/>
        </w:rPr>
        <w:t>提案人：</w:t>
      </w:r>
      <w:r w:rsidR="00AB689B" w:rsidRPr="00134B54">
        <w:rPr>
          <w:rFonts w:ascii="標楷體" w:eastAsia="標楷體" w:hAnsi="標楷體" w:hint="eastAsia"/>
          <w:sz w:val="28"/>
          <w:szCs w:val="28"/>
        </w:rPr>
        <w:t>許宇甄</w:t>
      </w:r>
      <w:r w:rsidRPr="00134B54">
        <w:rPr>
          <w:rFonts w:ascii="標楷體" w:eastAsia="標楷體" w:hAnsi="標楷體"/>
          <w:sz w:val="28"/>
          <w:szCs w:val="28"/>
        </w:rPr>
        <w:t xml:space="preserve">　</w:t>
      </w:r>
    </w:p>
    <w:p w14:paraId="07D3D2B5" w14:textId="47D5436E" w:rsidR="00DD20C8" w:rsidRPr="00134B54" w:rsidRDefault="00DD20C8" w:rsidP="00DD20C8">
      <w:pPr>
        <w:snapToGrid w:val="0"/>
        <w:ind w:leftChars="1500" w:left="4776" w:hangingChars="420" w:hanging="1176"/>
        <w:jc w:val="both"/>
        <w:rPr>
          <w:rFonts w:ascii="標楷體" w:eastAsia="標楷體" w:hAnsi="標楷體"/>
          <w:sz w:val="28"/>
          <w:szCs w:val="28"/>
        </w:rPr>
      </w:pPr>
      <w:r w:rsidRPr="00134B54">
        <w:rPr>
          <w:rFonts w:ascii="標楷體" w:eastAsia="標楷體" w:hAnsi="標楷體"/>
          <w:sz w:val="28"/>
          <w:szCs w:val="28"/>
        </w:rPr>
        <w:t>連署人：</w:t>
      </w:r>
      <w:r w:rsidR="00AB689B" w:rsidRPr="00134B54">
        <w:rPr>
          <w:rFonts w:ascii="標楷體" w:eastAsia="標楷體" w:hAnsi="標楷體" w:hint="eastAsia"/>
          <w:sz w:val="28"/>
          <w:szCs w:val="28"/>
        </w:rPr>
        <w:t>翁曉玲</w:t>
      </w:r>
      <w:r w:rsidR="00AB689B" w:rsidRPr="00134B54">
        <w:rPr>
          <w:rFonts w:ascii="標楷體" w:eastAsia="標楷體" w:hAnsi="標楷體"/>
          <w:sz w:val="28"/>
          <w:szCs w:val="28"/>
        </w:rPr>
        <w:t xml:space="preserve">　</w:t>
      </w:r>
      <w:r w:rsidR="00AB689B" w:rsidRPr="00134B54">
        <w:rPr>
          <w:rFonts w:ascii="標楷體" w:eastAsia="標楷體" w:hAnsi="標楷體" w:hint="eastAsia"/>
          <w:sz w:val="28"/>
          <w:szCs w:val="28"/>
        </w:rPr>
        <w:t>林沛祥</w:t>
      </w:r>
    </w:p>
    <w:p w14:paraId="7CB92AD0" w14:textId="43D1876C" w:rsidR="00E744CB" w:rsidRPr="00134B54" w:rsidRDefault="00E744CB" w:rsidP="00F00037">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sz w:val="28"/>
          <w:szCs w:val="28"/>
        </w:rPr>
        <w:t>115年度司法院歲出預算</w:t>
      </w:r>
      <w:r w:rsidR="00D94768" w:rsidRPr="00134B54">
        <w:rPr>
          <w:rFonts w:ascii="標楷體" w:eastAsia="標楷體" w:hAnsi="標楷體" w:hint="eastAsia"/>
          <w:sz w:val="28"/>
          <w:szCs w:val="28"/>
        </w:rPr>
        <w:t>於</w:t>
      </w:r>
      <w:r w:rsidR="00EA2E65" w:rsidRPr="00134B54">
        <w:rPr>
          <w:rFonts w:ascii="標楷體" w:eastAsia="標楷體" w:hAnsi="標楷體" w:hint="eastAsia"/>
          <w:sz w:val="28"/>
          <w:szCs w:val="28"/>
        </w:rPr>
        <w:t>「非以人事費支付之『勞務承攬』」</w:t>
      </w:r>
      <w:r w:rsidRPr="00134B54">
        <w:rPr>
          <w:rFonts w:ascii="標楷體" w:eastAsia="標楷體" w:hAnsi="標楷體"/>
          <w:sz w:val="28"/>
          <w:szCs w:val="28"/>
        </w:rPr>
        <w:t>編列</w:t>
      </w:r>
      <w:r w:rsidR="00C81037" w:rsidRPr="00134B54">
        <w:rPr>
          <w:rFonts w:ascii="標楷體" w:eastAsia="標楷體" w:hAnsi="標楷體" w:hint="eastAsia"/>
          <w:sz w:val="28"/>
          <w:szCs w:val="28"/>
        </w:rPr>
        <w:t>9,158萬8千元</w:t>
      </w:r>
      <w:r w:rsidRPr="00134B54">
        <w:rPr>
          <w:rFonts w:ascii="標楷體" w:eastAsia="標楷體" w:hAnsi="標楷體"/>
          <w:sz w:val="28"/>
          <w:szCs w:val="28"/>
        </w:rPr>
        <w:t>，凍結</w:t>
      </w:r>
      <w:r w:rsidR="00C81037" w:rsidRPr="00134B54">
        <w:rPr>
          <w:rFonts w:ascii="標楷體" w:eastAsia="標楷體" w:hAnsi="標楷體" w:hint="eastAsia"/>
          <w:sz w:val="28"/>
          <w:szCs w:val="28"/>
        </w:rPr>
        <w:t>457萬9千</w:t>
      </w:r>
      <w:r w:rsidRPr="00134B54">
        <w:rPr>
          <w:rFonts w:ascii="標楷體" w:eastAsia="標楷體" w:hAnsi="標楷體"/>
          <w:sz w:val="28"/>
          <w:szCs w:val="28"/>
        </w:rPr>
        <w:t>元，俟向立法院司法及法制委員會提出書面報告後，始得動支。</w:t>
      </w:r>
      <w:bookmarkStart w:id="18" w:name="_Hlk230013989"/>
      <w:r w:rsidRPr="00134B54">
        <w:rPr>
          <w:rFonts w:ascii="標楷體" w:eastAsia="標楷體" w:hAnsi="標楷體"/>
          <w:color w:val="000000"/>
          <w:sz w:val="28"/>
          <w:szCs w:val="28"/>
        </w:rPr>
        <w:t>【3】</w:t>
      </w:r>
      <w:bookmarkEnd w:id="18"/>
    </w:p>
    <w:p w14:paraId="481E39B9" w14:textId="020FEEC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bookmarkStart w:id="19" w:name="_Hlk230014016"/>
      <w:r w:rsidRPr="00134B54">
        <w:rPr>
          <w:rFonts w:ascii="標楷體" w:eastAsia="標楷體" w:hAnsi="標楷體"/>
          <w:color w:val="000000"/>
          <w:sz w:val="28"/>
          <w:szCs w:val="28"/>
        </w:rPr>
        <w:t>提案人：翁曉玲</w:t>
      </w:r>
    </w:p>
    <w:p w14:paraId="38484E44" w14:textId="16DB7DD3"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w:t>
      </w:r>
      <w:bookmarkStart w:id="20" w:name="_Hlk230014693"/>
      <w:r w:rsidRPr="00134B54">
        <w:rPr>
          <w:rFonts w:ascii="標楷體" w:eastAsia="標楷體" w:hAnsi="標楷體"/>
          <w:color w:val="000000"/>
          <w:sz w:val="28"/>
          <w:szCs w:val="28"/>
        </w:rPr>
        <w:t>許宇甄</w:t>
      </w:r>
      <w:bookmarkEnd w:id="20"/>
      <w:r w:rsidRPr="00134B54">
        <w:rPr>
          <w:rFonts w:ascii="標楷體" w:eastAsia="標楷體" w:hAnsi="標楷體"/>
          <w:color w:val="000000"/>
          <w:sz w:val="28"/>
          <w:szCs w:val="28"/>
        </w:rPr>
        <w:t xml:space="preserve">　陳昭姿</w:t>
      </w:r>
    </w:p>
    <w:bookmarkEnd w:id="19"/>
    <w:p w14:paraId="7D76B548" w14:textId="25308027" w:rsidR="00EC2301" w:rsidRPr="00134B54" w:rsidRDefault="003D1DA2" w:rsidP="00EC2301">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hint="eastAsia"/>
          <w:color w:val="000000"/>
          <w:sz w:val="28"/>
          <w:szCs w:val="28"/>
        </w:rPr>
        <w:t>115年度司法院歲出預算第1目「一般行政」編列17億6,154萬元</w:t>
      </w:r>
      <w:bookmarkStart w:id="21" w:name="_Hlk230029699"/>
      <w:r w:rsidRPr="00134B54">
        <w:rPr>
          <w:rFonts w:ascii="標楷體" w:eastAsia="標楷體" w:hAnsi="標楷體" w:hint="eastAsia"/>
          <w:color w:val="000000"/>
          <w:sz w:val="28"/>
          <w:szCs w:val="28"/>
        </w:rPr>
        <w:t>，凍結1</w:t>
      </w:r>
      <w:r w:rsidRPr="00134B54">
        <w:rPr>
          <w:rFonts w:ascii="標楷體" w:eastAsia="標楷體" w:hAnsi="標楷體"/>
          <w:color w:val="000000"/>
          <w:sz w:val="28"/>
          <w:szCs w:val="28"/>
        </w:rPr>
        <w:t>,177</w:t>
      </w:r>
      <w:r w:rsidRPr="00134B54">
        <w:rPr>
          <w:rFonts w:ascii="標楷體" w:eastAsia="標楷體" w:hAnsi="標楷體" w:hint="eastAsia"/>
          <w:color w:val="000000"/>
          <w:sz w:val="28"/>
          <w:szCs w:val="28"/>
        </w:rPr>
        <w:t>萬5千元，</w:t>
      </w:r>
      <w:bookmarkStart w:id="22" w:name="_Hlk230015249"/>
      <w:r w:rsidRPr="00134B54">
        <w:rPr>
          <w:rFonts w:ascii="標楷體" w:eastAsia="標楷體" w:hAnsi="標楷體" w:hint="eastAsia"/>
          <w:color w:val="000000"/>
          <w:sz w:val="28"/>
          <w:szCs w:val="28"/>
        </w:rPr>
        <w:t>俟向立法院司法及法制委員會提出書面報告後，始得動支。</w:t>
      </w:r>
      <w:bookmarkStart w:id="23" w:name="_Hlk230015008"/>
      <w:bookmarkEnd w:id="22"/>
      <w:r w:rsidRPr="00134B54">
        <w:rPr>
          <w:rFonts w:ascii="標楷體" w:eastAsia="標楷體" w:hAnsi="標楷體"/>
          <w:color w:val="000000"/>
          <w:sz w:val="28"/>
          <w:szCs w:val="28"/>
        </w:rPr>
        <w:t>【</w:t>
      </w:r>
      <w:r w:rsidRPr="00134B54">
        <w:rPr>
          <w:rFonts w:ascii="標楷體" w:eastAsia="標楷體" w:hAnsi="標楷體" w:hint="eastAsia"/>
          <w:color w:val="000000"/>
          <w:sz w:val="28"/>
          <w:szCs w:val="28"/>
        </w:rPr>
        <w:t>16、21、23</w:t>
      </w:r>
      <w:r w:rsidRPr="00134B54">
        <w:rPr>
          <w:rFonts w:ascii="標楷體" w:eastAsia="標楷體" w:hAnsi="標楷體"/>
          <w:color w:val="000000"/>
          <w:sz w:val="28"/>
          <w:szCs w:val="28"/>
        </w:rPr>
        <w:t>】</w:t>
      </w:r>
      <w:bookmarkEnd w:id="21"/>
      <w:bookmarkEnd w:id="23"/>
    </w:p>
    <w:p w14:paraId="119AA176" w14:textId="33F95344" w:rsidR="003D1DA2" w:rsidRPr="00134B54" w:rsidRDefault="003D1DA2" w:rsidP="003D1DA2">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提案人：吳宗憲</w:t>
      </w:r>
      <w:bookmarkStart w:id="24" w:name="_Hlk230015102"/>
      <w:r w:rsidR="00865F65">
        <w:rPr>
          <w:rFonts w:ascii="標楷體" w:eastAsia="標楷體" w:hAnsi="標楷體" w:hint="eastAsia"/>
          <w:color w:val="000000"/>
          <w:sz w:val="28"/>
          <w:szCs w:val="28"/>
        </w:rPr>
        <w:t xml:space="preserve"> </w:t>
      </w:r>
      <w:r w:rsidR="00AB00F8" w:rsidRPr="00134B54">
        <w:rPr>
          <w:rFonts w:ascii="標楷體" w:eastAsia="標楷體" w:hAnsi="標楷體" w:hint="eastAsia"/>
          <w:color w:val="000000"/>
          <w:sz w:val="28"/>
          <w:szCs w:val="28"/>
        </w:rPr>
        <w:t>許宇甄</w:t>
      </w:r>
      <w:bookmarkEnd w:id="24"/>
    </w:p>
    <w:p w14:paraId="7430DB72" w14:textId="70512071" w:rsidR="003D1DA2" w:rsidRPr="00134B54" w:rsidRDefault="003D1DA2" w:rsidP="003D1DA2">
      <w:pPr>
        <w:snapToGrid w:val="0"/>
        <w:ind w:leftChars="1500" w:left="4776" w:hangingChars="420" w:hanging="1176"/>
        <w:jc w:val="both"/>
        <w:rPr>
          <w:rFonts w:ascii="標楷體" w:eastAsia="標楷體" w:hAnsi="標楷體"/>
          <w:color w:val="000000"/>
          <w:sz w:val="28"/>
          <w:szCs w:val="28"/>
        </w:rPr>
      </w:pPr>
      <w:bookmarkStart w:id="25" w:name="_Hlk230015113"/>
      <w:r w:rsidRPr="00134B54">
        <w:rPr>
          <w:rFonts w:ascii="標楷體" w:eastAsia="標楷體" w:hAnsi="標楷體"/>
          <w:color w:val="000000"/>
          <w:sz w:val="28"/>
          <w:szCs w:val="28"/>
        </w:rPr>
        <w:t>連署人：</w:t>
      </w:r>
      <w:r w:rsidRPr="000A29F0">
        <w:rPr>
          <w:rFonts w:ascii="標楷體" w:eastAsia="標楷體" w:hAnsi="標楷體"/>
          <w:color w:val="000000"/>
          <w:spacing w:val="-14"/>
          <w:sz w:val="28"/>
          <w:szCs w:val="28"/>
        </w:rPr>
        <w:t>林沛祥　陳昭姿　羅智強</w:t>
      </w:r>
      <w:r w:rsidR="000A29F0" w:rsidRPr="000A29F0">
        <w:rPr>
          <w:rFonts w:ascii="標楷體" w:eastAsia="標楷體" w:hAnsi="標楷體"/>
          <w:color w:val="000000"/>
          <w:spacing w:val="-14"/>
          <w:sz w:val="28"/>
          <w:szCs w:val="28"/>
        </w:rPr>
        <w:t xml:space="preserve">　</w:t>
      </w:r>
      <w:r w:rsidR="00AB00F8" w:rsidRPr="000A29F0">
        <w:rPr>
          <w:rFonts w:ascii="標楷體" w:eastAsia="標楷體" w:hAnsi="標楷體" w:hint="eastAsia"/>
          <w:color w:val="000000"/>
          <w:spacing w:val="-14"/>
          <w:sz w:val="28"/>
          <w:szCs w:val="28"/>
        </w:rPr>
        <w:t>翁曉玲</w:t>
      </w:r>
    </w:p>
    <w:bookmarkEnd w:id="25"/>
    <w:p w14:paraId="568A6CE5" w14:textId="4FB78709" w:rsidR="0010204E" w:rsidRPr="00134B54" w:rsidRDefault="0010204E" w:rsidP="0010204E">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115年度司法院歲出預算第3目「審判行政」編列 1億0,693萬2千</w:t>
      </w:r>
      <w:r w:rsidR="008E4C7F" w:rsidRPr="00134B54">
        <w:rPr>
          <w:rFonts w:ascii="標楷體" w:eastAsia="標楷體" w:hAnsi="標楷體" w:hint="eastAsia"/>
          <w:color w:val="000000"/>
          <w:sz w:val="28"/>
          <w:szCs w:val="28"/>
        </w:rPr>
        <w:t>元</w:t>
      </w:r>
      <w:r w:rsidRPr="00134B54">
        <w:rPr>
          <w:rFonts w:ascii="標楷體" w:eastAsia="標楷體" w:hAnsi="標楷體"/>
          <w:color w:val="000000"/>
          <w:sz w:val="28"/>
          <w:szCs w:val="28"/>
        </w:rPr>
        <w:t>，凍結</w:t>
      </w:r>
      <w:r w:rsidR="00BB46D2" w:rsidRPr="00134B54">
        <w:rPr>
          <w:rFonts w:ascii="標楷體" w:eastAsia="標楷體" w:hAnsi="標楷體" w:hint="eastAsia"/>
          <w:color w:val="000000"/>
          <w:sz w:val="28"/>
          <w:szCs w:val="28"/>
        </w:rPr>
        <w:t>390</w:t>
      </w:r>
      <w:r w:rsidRPr="00134B54">
        <w:rPr>
          <w:rFonts w:ascii="標楷體" w:eastAsia="標楷體" w:hAnsi="標楷體"/>
          <w:color w:val="000000"/>
          <w:sz w:val="28"/>
          <w:szCs w:val="28"/>
        </w:rPr>
        <w:t>萬</w:t>
      </w:r>
      <w:r w:rsidR="00BB46D2" w:rsidRPr="00134B54">
        <w:rPr>
          <w:rFonts w:ascii="標楷體" w:eastAsia="標楷體" w:hAnsi="標楷體" w:hint="eastAsia"/>
          <w:color w:val="000000"/>
          <w:sz w:val="28"/>
          <w:szCs w:val="28"/>
        </w:rPr>
        <w:t>7千</w:t>
      </w:r>
      <w:r w:rsidRPr="00134B54">
        <w:rPr>
          <w:rFonts w:ascii="標楷體" w:eastAsia="標楷體" w:hAnsi="標楷體"/>
          <w:color w:val="000000"/>
          <w:sz w:val="28"/>
          <w:szCs w:val="28"/>
        </w:rPr>
        <w:t>元，</w:t>
      </w:r>
      <w:bookmarkStart w:id="26" w:name="_Hlk230015230"/>
      <w:r w:rsidR="008629C8" w:rsidRPr="00134B54">
        <w:rPr>
          <w:rFonts w:ascii="標楷體" w:eastAsia="標楷體" w:hAnsi="標楷體" w:hint="eastAsia"/>
          <w:color w:val="000000"/>
          <w:sz w:val="28"/>
          <w:szCs w:val="28"/>
        </w:rPr>
        <w:t>俟向立法院司法及法制委員會提出書面報告後，始得動支。</w:t>
      </w:r>
      <w:r w:rsidR="00A41EEC" w:rsidRPr="00134B54">
        <w:rPr>
          <w:rFonts w:ascii="標楷體" w:eastAsia="標楷體" w:hAnsi="標楷體"/>
          <w:color w:val="000000"/>
          <w:sz w:val="28"/>
          <w:szCs w:val="28"/>
        </w:rPr>
        <w:t>【</w:t>
      </w:r>
      <w:r w:rsidR="00A41EEC" w:rsidRPr="00134B54">
        <w:rPr>
          <w:rFonts w:ascii="標楷體" w:eastAsia="標楷體" w:hAnsi="標楷體" w:hint="eastAsia"/>
          <w:color w:val="000000"/>
          <w:sz w:val="28"/>
          <w:szCs w:val="28"/>
        </w:rPr>
        <w:t>29-31</w:t>
      </w:r>
      <w:r w:rsidR="008629C8" w:rsidRPr="00134B54">
        <w:rPr>
          <w:rFonts w:ascii="標楷體" w:eastAsia="標楷體" w:hAnsi="標楷體" w:hint="eastAsia"/>
          <w:color w:val="000000"/>
          <w:sz w:val="28"/>
          <w:szCs w:val="28"/>
        </w:rPr>
        <w:t>、33</w:t>
      </w:r>
      <w:r w:rsidR="00A41EEC" w:rsidRPr="00134B54">
        <w:rPr>
          <w:rFonts w:ascii="標楷體" w:eastAsia="標楷體" w:hAnsi="標楷體"/>
          <w:color w:val="000000"/>
          <w:sz w:val="28"/>
          <w:szCs w:val="28"/>
        </w:rPr>
        <w:t>】</w:t>
      </w:r>
      <w:bookmarkEnd w:id="26"/>
    </w:p>
    <w:p w14:paraId="481924AC" w14:textId="3DC286E6" w:rsidR="00A41EEC" w:rsidRPr="00134B54" w:rsidRDefault="00A41EEC" w:rsidP="00A41EEC">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w:t>
      </w:r>
      <w:r w:rsidRPr="00134B54">
        <w:rPr>
          <w:rFonts w:ascii="標楷體" w:eastAsia="標楷體" w:hAnsi="標楷體"/>
          <w:color w:val="000000"/>
          <w:spacing w:val="-14"/>
          <w:sz w:val="28"/>
          <w:szCs w:val="28"/>
        </w:rPr>
        <w:t>吳宗憲</w:t>
      </w:r>
      <w:r w:rsidRPr="00134B54">
        <w:rPr>
          <w:rFonts w:ascii="標楷體" w:eastAsia="標楷體" w:hAnsi="標楷體" w:hint="eastAsia"/>
          <w:color w:val="000000"/>
          <w:spacing w:val="-14"/>
          <w:sz w:val="28"/>
          <w:szCs w:val="28"/>
        </w:rPr>
        <w:t xml:space="preserve">　</w:t>
      </w:r>
      <w:r w:rsidR="00266C83" w:rsidRPr="00134B54">
        <w:rPr>
          <w:rFonts w:ascii="標楷體" w:eastAsia="標楷體" w:hAnsi="標楷體"/>
          <w:color w:val="000000"/>
          <w:spacing w:val="-14"/>
          <w:sz w:val="28"/>
          <w:szCs w:val="28"/>
        </w:rPr>
        <w:t xml:space="preserve">陳昭姿　</w:t>
      </w:r>
      <w:r w:rsidRPr="00134B54">
        <w:rPr>
          <w:rFonts w:ascii="標楷體" w:eastAsia="標楷體" w:hAnsi="標楷體" w:hint="eastAsia"/>
          <w:color w:val="000000"/>
          <w:spacing w:val="-14"/>
          <w:sz w:val="28"/>
          <w:szCs w:val="28"/>
        </w:rPr>
        <w:t>許宇甄</w:t>
      </w:r>
      <w:r w:rsidR="008629C8" w:rsidRPr="00134B54">
        <w:rPr>
          <w:rFonts w:ascii="標楷體" w:eastAsia="標楷體" w:hAnsi="標楷體" w:hint="eastAsia"/>
          <w:color w:val="000000"/>
          <w:spacing w:val="-14"/>
          <w:sz w:val="28"/>
          <w:szCs w:val="28"/>
        </w:rPr>
        <w:t xml:space="preserve">　翁曉玲</w:t>
      </w:r>
    </w:p>
    <w:p w14:paraId="04DFE3B8" w14:textId="61290024" w:rsidR="00A41EEC" w:rsidRPr="00134B54" w:rsidRDefault="00A41EEC" w:rsidP="00F01877">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連署人：林沛祥</w:t>
      </w:r>
      <w:r w:rsidR="00F01877" w:rsidRPr="00134B54">
        <w:rPr>
          <w:rFonts w:ascii="標楷體" w:eastAsia="標楷體" w:hAnsi="標楷體" w:hint="eastAsia"/>
          <w:color w:val="000000"/>
          <w:sz w:val="28"/>
          <w:szCs w:val="28"/>
        </w:rPr>
        <w:t xml:space="preserve"> </w:t>
      </w:r>
      <w:r w:rsidRPr="00134B54">
        <w:rPr>
          <w:rFonts w:ascii="標楷體" w:eastAsia="標楷體" w:hAnsi="標楷體"/>
          <w:color w:val="000000"/>
          <w:sz w:val="28"/>
          <w:szCs w:val="28"/>
        </w:rPr>
        <w:t>羅智強</w:t>
      </w:r>
    </w:p>
    <w:p w14:paraId="77F193E9" w14:textId="3DC48279" w:rsidR="00131CF1" w:rsidRPr="00134B54" w:rsidRDefault="008A63A3" w:rsidP="00131CF1">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115年度司法院歲出預算第4目「司法業務規劃研考」編列 1,201萬7千</w:t>
      </w:r>
      <w:r w:rsidR="008E4C7F" w:rsidRPr="00134B54">
        <w:rPr>
          <w:rFonts w:ascii="標楷體" w:eastAsia="標楷體" w:hAnsi="標楷體" w:hint="eastAsia"/>
          <w:color w:val="000000"/>
          <w:sz w:val="28"/>
          <w:szCs w:val="28"/>
        </w:rPr>
        <w:t>元</w:t>
      </w:r>
      <w:r w:rsidRPr="00134B54">
        <w:rPr>
          <w:rFonts w:ascii="標楷體" w:eastAsia="標楷體" w:hAnsi="標楷體"/>
          <w:color w:val="000000"/>
          <w:sz w:val="28"/>
          <w:szCs w:val="28"/>
        </w:rPr>
        <w:t>，凍結</w:t>
      </w:r>
      <w:r w:rsidR="008629C8" w:rsidRPr="00134B54">
        <w:rPr>
          <w:rFonts w:ascii="標楷體" w:eastAsia="標楷體" w:hAnsi="標楷體" w:hint="eastAsia"/>
          <w:color w:val="000000"/>
          <w:sz w:val="28"/>
          <w:szCs w:val="28"/>
        </w:rPr>
        <w:t>10</w:t>
      </w:r>
      <w:r w:rsidRPr="00134B54">
        <w:rPr>
          <w:rFonts w:ascii="標楷體" w:eastAsia="標楷體" w:hAnsi="標楷體"/>
          <w:color w:val="000000"/>
          <w:sz w:val="28"/>
          <w:szCs w:val="28"/>
        </w:rPr>
        <w:t>萬</w:t>
      </w:r>
      <w:r w:rsidR="008629C8" w:rsidRPr="00134B54">
        <w:rPr>
          <w:rFonts w:ascii="標楷體" w:eastAsia="標楷體" w:hAnsi="標楷體" w:hint="eastAsia"/>
          <w:color w:val="000000"/>
          <w:sz w:val="28"/>
          <w:szCs w:val="28"/>
        </w:rPr>
        <w:t>2千</w:t>
      </w:r>
      <w:r w:rsidRPr="00134B54">
        <w:rPr>
          <w:rFonts w:ascii="標楷體" w:eastAsia="標楷體" w:hAnsi="標楷體"/>
          <w:color w:val="000000"/>
          <w:sz w:val="28"/>
          <w:szCs w:val="28"/>
        </w:rPr>
        <w:t>元，</w:t>
      </w:r>
      <w:r w:rsidR="008629C8" w:rsidRPr="00134B54">
        <w:rPr>
          <w:rFonts w:ascii="標楷體" w:eastAsia="標楷體" w:hAnsi="標楷體"/>
          <w:color w:val="000000"/>
          <w:sz w:val="28"/>
          <w:szCs w:val="28"/>
        </w:rPr>
        <w:t>俟向立法院司法及法制委員會提出</w:t>
      </w:r>
      <w:r w:rsidR="008629C8" w:rsidRPr="00134B54">
        <w:rPr>
          <w:rFonts w:ascii="標楷體" w:eastAsia="標楷體" w:hAnsi="標楷體" w:hint="eastAsia"/>
          <w:color w:val="000000"/>
          <w:sz w:val="28"/>
          <w:szCs w:val="28"/>
        </w:rPr>
        <w:t>專案</w:t>
      </w:r>
      <w:r w:rsidR="008629C8" w:rsidRPr="00134B54">
        <w:rPr>
          <w:rFonts w:ascii="標楷體" w:eastAsia="標楷體" w:hAnsi="標楷體"/>
          <w:color w:val="000000"/>
          <w:sz w:val="28"/>
          <w:szCs w:val="28"/>
        </w:rPr>
        <w:t>報告</w:t>
      </w:r>
      <w:r w:rsidR="00C444D3" w:rsidRPr="00134B54">
        <w:rPr>
          <w:rFonts w:ascii="標楷體" w:eastAsia="標楷體" w:hAnsi="標楷體" w:hint="eastAsia"/>
          <w:color w:val="000000"/>
          <w:sz w:val="28"/>
          <w:szCs w:val="28"/>
        </w:rPr>
        <w:t>，</w:t>
      </w:r>
      <w:r w:rsidR="008629C8" w:rsidRPr="00134B54">
        <w:rPr>
          <w:rFonts w:ascii="標楷體" w:eastAsia="標楷體" w:hAnsi="標楷體" w:hint="eastAsia"/>
          <w:color w:val="000000"/>
          <w:sz w:val="28"/>
          <w:szCs w:val="28"/>
        </w:rPr>
        <w:t>經同意</w:t>
      </w:r>
      <w:r w:rsidR="008629C8" w:rsidRPr="00134B54">
        <w:rPr>
          <w:rFonts w:ascii="標楷體" w:eastAsia="標楷體" w:hAnsi="標楷體"/>
          <w:color w:val="000000"/>
          <w:sz w:val="28"/>
          <w:szCs w:val="28"/>
        </w:rPr>
        <w:t>後，始得動支。【</w:t>
      </w:r>
      <w:r w:rsidR="008629C8" w:rsidRPr="00134B54">
        <w:rPr>
          <w:rFonts w:ascii="標楷體" w:eastAsia="標楷體" w:hAnsi="標楷體" w:hint="eastAsia"/>
          <w:color w:val="000000"/>
          <w:sz w:val="28"/>
          <w:szCs w:val="28"/>
        </w:rPr>
        <w:t>3</w:t>
      </w:r>
      <w:r w:rsidR="00EA3D27" w:rsidRPr="00134B54">
        <w:rPr>
          <w:rFonts w:ascii="標楷體" w:eastAsia="標楷體" w:hAnsi="標楷體" w:hint="eastAsia"/>
          <w:color w:val="000000"/>
          <w:sz w:val="28"/>
          <w:szCs w:val="28"/>
        </w:rPr>
        <w:t>6</w:t>
      </w:r>
      <w:r w:rsidR="008629C8" w:rsidRPr="00134B54">
        <w:rPr>
          <w:rFonts w:ascii="標楷體" w:eastAsia="標楷體" w:hAnsi="標楷體"/>
          <w:color w:val="000000"/>
          <w:sz w:val="28"/>
          <w:szCs w:val="28"/>
        </w:rPr>
        <w:t>】</w:t>
      </w:r>
    </w:p>
    <w:p w14:paraId="520849DD" w14:textId="77777777" w:rsidR="00EA3D27" w:rsidRPr="00134B54" w:rsidRDefault="00EA3D27" w:rsidP="00EA3D27">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23067868" w14:textId="77777777" w:rsidR="00EA3D27" w:rsidRPr="00134B54" w:rsidRDefault="00EA3D27" w:rsidP="00EA3D27">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50B11635" w14:textId="7BC7963C" w:rsidR="003D1DA2" w:rsidRPr="00134B54" w:rsidRDefault="001C5E56" w:rsidP="001C5E56">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hint="eastAsia"/>
          <w:color w:val="000000"/>
          <w:sz w:val="28"/>
          <w:szCs w:val="28"/>
        </w:rPr>
        <w:t>115年度司法院歲出預算第7目「對財團法人法律扶助基金會捐助」編列 14億8,977萬1千</w:t>
      </w:r>
      <w:r w:rsidR="008E4C7F" w:rsidRPr="00134B54">
        <w:rPr>
          <w:rFonts w:ascii="標楷體" w:eastAsia="標楷體" w:hAnsi="標楷體" w:hint="eastAsia"/>
          <w:color w:val="000000"/>
          <w:sz w:val="28"/>
          <w:szCs w:val="28"/>
        </w:rPr>
        <w:t>元</w:t>
      </w:r>
      <w:r w:rsidRPr="00134B54">
        <w:rPr>
          <w:rFonts w:ascii="標楷體" w:eastAsia="標楷體" w:hAnsi="標楷體" w:hint="eastAsia"/>
          <w:color w:val="000000"/>
          <w:sz w:val="28"/>
          <w:szCs w:val="28"/>
        </w:rPr>
        <w:t>，凍結</w:t>
      </w:r>
      <w:r w:rsidR="00D671AC" w:rsidRPr="00134B54">
        <w:rPr>
          <w:rFonts w:ascii="標楷體" w:eastAsia="標楷體" w:hAnsi="標楷體" w:hint="eastAsia"/>
          <w:color w:val="000000"/>
          <w:sz w:val="28"/>
          <w:szCs w:val="28"/>
        </w:rPr>
        <w:t>1億4,897萬7千</w:t>
      </w:r>
      <w:r w:rsidRPr="00134B54">
        <w:rPr>
          <w:rFonts w:ascii="標楷體" w:eastAsia="標楷體" w:hAnsi="標楷體" w:hint="eastAsia"/>
          <w:color w:val="000000"/>
          <w:sz w:val="28"/>
          <w:szCs w:val="28"/>
        </w:rPr>
        <w:t>元，俟向立法院司法及法制委員會提出書面報告後，始得動支。</w:t>
      </w:r>
      <w:r w:rsidR="00D671AC" w:rsidRPr="00134B54">
        <w:rPr>
          <w:rFonts w:ascii="標楷體" w:eastAsia="標楷體" w:hAnsi="標楷體" w:hint="eastAsia"/>
          <w:color w:val="000000"/>
          <w:sz w:val="28"/>
          <w:szCs w:val="28"/>
        </w:rPr>
        <w:t>【37、38】</w:t>
      </w:r>
    </w:p>
    <w:p w14:paraId="65013702" w14:textId="0D6AF44D" w:rsidR="00B87775" w:rsidRPr="00134B54" w:rsidRDefault="00B87775" w:rsidP="00B87775">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r w:rsidR="00865F65">
        <w:rPr>
          <w:rFonts w:ascii="標楷體" w:eastAsia="標楷體" w:hAnsi="標楷體" w:hint="eastAsia"/>
          <w:color w:val="000000"/>
          <w:sz w:val="28"/>
          <w:szCs w:val="28"/>
        </w:rPr>
        <w:t xml:space="preserve"> </w:t>
      </w:r>
      <w:r w:rsidRPr="00134B54">
        <w:rPr>
          <w:rFonts w:ascii="標楷體" w:eastAsia="標楷體" w:hAnsi="標楷體" w:hint="eastAsia"/>
          <w:color w:val="000000"/>
          <w:sz w:val="28"/>
          <w:szCs w:val="28"/>
        </w:rPr>
        <w:t xml:space="preserve">沈發惠　</w:t>
      </w:r>
    </w:p>
    <w:p w14:paraId="75F6AC81" w14:textId="5C12CAAE" w:rsidR="00B87775" w:rsidRPr="00134B54" w:rsidRDefault="00B87775" w:rsidP="00B87775">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hint="eastAsia"/>
          <w:color w:val="000000"/>
          <w:sz w:val="28"/>
          <w:szCs w:val="28"/>
        </w:rPr>
        <w:t xml:space="preserve">        伍麗華</w:t>
      </w:r>
      <w:r w:rsidRPr="00134B54">
        <w:rPr>
          <w:rFonts w:ascii="標楷體" w:eastAsia="標楷體" w:hAnsi="標楷體" w:hint="eastAsia"/>
          <w:color w:val="000000"/>
          <w:spacing w:val="-20"/>
          <w:sz w:val="28"/>
          <w:szCs w:val="28"/>
        </w:rPr>
        <w:t>Saidhai．Tahovecahe</w:t>
      </w:r>
    </w:p>
    <w:p w14:paraId="1344C3CE" w14:textId="77410DDE" w:rsidR="00B87775" w:rsidRPr="00134B54" w:rsidRDefault="00B87775" w:rsidP="00B87775">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w:t>
      </w:r>
      <w:r w:rsidRPr="000A29F0">
        <w:rPr>
          <w:rFonts w:ascii="標楷體" w:eastAsia="標楷體" w:hAnsi="標楷體"/>
          <w:color w:val="000000"/>
          <w:spacing w:val="-14"/>
          <w:sz w:val="28"/>
          <w:szCs w:val="28"/>
        </w:rPr>
        <w:t>許宇甄　陳昭姿</w:t>
      </w:r>
      <w:r w:rsidRPr="000A29F0">
        <w:rPr>
          <w:rFonts w:ascii="標楷體" w:eastAsia="標楷體" w:hAnsi="標楷體" w:hint="eastAsia"/>
          <w:color w:val="000000"/>
          <w:spacing w:val="-14"/>
          <w:sz w:val="28"/>
          <w:szCs w:val="28"/>
        </w:rPr>
        <w:t xml:space="preserve">　張雅琳　范　雲</w:t>
      </w:r>
    </w:p>
    <w:p w14:paraId="1DA5985B" w14:textId="47062270" w:rsidR="00A65617" w:rsidRPr="00134B54" w:rsidRDefault="00E744CB" w:rsidP="00DB10A4">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115年</w:t>
      </w:r>
      <w:bookmarkStart w:id="27" w:name="_Hlk230017831"/>
      <w:r w:rsidR="00C10C31" w:rsidRPr="00134B54">
        <w:rPr>
          <w:rFonts w:ascii="標楷體" w:eastAsia="標楷體" w:hAnsi="標楷體" w:hint="eastAsia"/>
          <w:color w:val="000000"/>
          <w:sz w:val="28"/>
          <w:szCs w:val="28"/>
        </w:rPr>
        <w:t>度</w:t>
      </w:r>
      <w:bookmarkEnd w:id="27"/>
      <w:r w:rsidRPr="00134B54">
        <w:rPr>
          <w:rFonts w:ascii="標楷體" w:eastAsia="標楷體" w:hAnsi="標楷體"/>
          <w:color w:val="000000"/>
          <w:sz w:val="28"/>
          <w:szCs w:val="28"/>
        </w:rPr>
        <w:t>中央政府總預算，司法院單位預算編列40</w:t>
      </w:r>
      <w:r w:rsidR="00C10C31" w:rsidRPr="00134B54">
        <w:rPr>
          <w:rFonts w:ascii="標楷體" w:eastAsia="標楷體" w:hAnsi="標楷體" w:hint="eastAsia"/>
          <w:color w:val="000000"/>
          <w:sz w:val="28"/>
          <w:szCs w:val="28"/>
        </w:rPr>
        <w:t>億</w:t>
      </w:r>
      <w:r w:rsidRPr="00134B54">
        <w:rPr>
          <w:rFonts w:ascii="標楷體" w:eastAsia="標楷體" w:hAnsi="標楷體"/>
          <w:color w:val="000000"/>
          <w:sz w:val="28"/>
          <w:szCs w:val="28"/>
        </w:rPr>
        <w:t>8</w:t>
      </w:r>
      <w:r w:rsidR="00C10C31" w:rsidRPr="00134B54">
        <w:rPr>
          <w:rFonts w:ascii="標楷體" w:eastAsia="標楷體" w:hAnsi="標楷體"/>
          <w:color w:val="000000"/>
          <w:sz w:val="28"/>
          <w:szCs w:val="28"/>
        </w:rPr>
        <w:t>,</w:t>
      </w:r>
      <w:r w:rsidRPr="00134B54">
        <w:rPr>
          <w:rFonts w:ascii="標楷體" w:eastAsia="標楷體" w:hAnsi="標楷體"/>
          <w:color w:val="000000"/>
          <w:sz w:val="28"/>
          <w:szCs w:val="28"/>
        </w:rPr>
        <w:t>359</w:t>
      </w:r>
      <w:r w:rsidR="00C10C31"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7千元，比114年度法定預算40</w:t>
      </w:r>
      <w:r w:rsidR="00C10C31" w:rsidRPr="00134B54">
        <w:rPr>
          <w:rFonts w:ascii="標楷體" w:eastAsia="標楷體" w:hAnsi="標楷體" w:hint="eastAsia"/>
          <w:color w:val="000000"/>
          <w:sz w:val="28"/>
          <w:szCs w:val="28"/>
        </w:rPr>
        <w:t>億</w:t>
      </w:r>
      <w:r w:rsidRPr="00134B54">
        <w:rPr>
          <w:rFonts w:ascii="標楷體" w:eastAsia="標楷體" w:hAnsi="標楷體"/>
          <w:color w:val="000000"/>
          <w:sz w:val="28"/>
          <w:szCs w:val="28"/>
        </w:rPr>
        <w:t>0</w:t>
      </w:r>
      <w:r w:rsidR="00C10C31" w:rsidRPr="00134B54">
        <w:rPr>
          <w:rFonts w:ascii="標楷體" w:eastAsia="標楷體" w:hAnsi="標楷體"/>
          <w:color w:val="000000"/>
          <w:sz w:val="28"/>
          <w:szCs w:val="28"/>
        </w:rPr>
        <w:t>,</w:t>
      </w:r>
      <w:r w:rsidRPr="00134B54">
        <w:rPr>
          <w:rFonts w:ascii="標楷體" w:eastAsia="標楷體" w:hAnsi="標楷體"/>
          <w:color w:val="000000"/>
          <w:sz w:val="28"/>
          <w:szCs w:val="28"/>
        </w:rPr>
        <w:t>805</w:t>
      </w:r>
      <w:bookmarkStart w:id="28" w:name="_Hlk230017862"/>
      <w:r w:rsidR="00C10C31" w:rsidRPr="00134B54">
        <w:rPr>
          <w:rFonts w:ascii="標楷體" w:eastAsia="標楷體" w:hAnsi="標楷體" w:hint="eastAsia"/>
          <w:color w:val="000000"/>
          <w:sz w:val="28"/>
          <w:szCs w:val="28"/>
        </w:rPr>
        <w:t>萬</w:t>
      </w:r>
      <w:bookmarkEnd w:id="28"/>
      <w:r w:rsidRPr="00134B54">
        <w:rPr>
          <w:rFonts w:ascii="標楷體" w:eastAsia="標楷體" w:hAnsi="標楷體"/>
          <w:color w:val="000000"/>
          <w:sz w:val="28"/>
          <w:szCs w:val="28"/>
        </w:rPr>
        <w:t>5千元，增加7</w:t>
      </w:r>
      <w:r w:rsidR="00C10C31" w:rsidRPr="00134B54">
        <w:rPr>
          <w:rFonts w:ascii="標楷體" w:eastAsia="標楷體" w:hAnsi="標楷體"/>
          <w:color w:val="000000"/>
          <w:sz w:val="28"/>
          <w:szCs w:val="28"/>
        </w:rPr>
        <w:t>,</w:t>
      </w:r>
      <w:r w:rsidRPr="00134B54">
        <w:rPr>
          <w:rFonts w:ascii="標楷體" w:eastAsia="標楷體" w:hAnsi="標楷體"/>
          <w:color w:val="000000"/>
          <w:sz w:val="28"/>
          <w:szCs w:val="28"/>
        </w:rPr>
        <w:t>554</w:t>
      </w:r>
      <w:r w:rsidR="00C10C31"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2千元（約7</w:t>
      </w:r>
      <w:r w:rsidR="00C10C31" w:rsidRPr="00134B54">
        <w:rPr>
          <w:rFonts w:ascii="標楷體" w:eastAsia="標楷體" w:hAnsi="標楷體"/>
          <w:color w:val="000000"/>
          <w:sz w:val="28"/>
          <w:szCs w:val="28"/>
        </w:rPr>
        <w:t>,</w:t>
      </w:r>
      <w:r w:rsidR="00C10C31" w:rsidRPr="00134B54">
        <w:rPr>
          <w:rFonts w:ascii="標楷體" w:eastAsia="標楷體" w:hAnsi="標楷體" w:hint="eastAsia"/>
          <w:color w:val="000000"/>
          <w:sz w:val="28"/>
          <w:szCs w:val="28"/>
        </w:rPr>
        <w:t>500</w:t>
      </w:r>
      <w:r w:rsidRPr="00134B54">
        <w:rPr>
          <w:rFonts w:ascii="標楷體" w:eastAsia="標楷體" w:hAnsi="標楷體"/>
          <w:color w:val="000000"/>
          <w:sz w:val="28"/>
          <w:szCs w:val="28"/>
        </w:rPr>
        <w:t>萬元），成長幅度1.88%。且114年</w:t>
      </w:r>
      <w:r w:rsidR="00C10C31" w:rsidRPr="00134B54">
        <w:rPr>
          <w:rFonts w:ascii="標楷體" w:eastAsia="標楷體" w:hAnsi="標楷體" w:hint="eastAsia"/>
          <w:color w:val="000000"/>
          <w:sz w:val="28"/>
          <w:szCs w:val="28"/>
        </w:rPr>
        <w:t>度</w:t>
      </w:r>
      <w:r w:rsidRPr="00134B54">
        <w:rPr>
          <w:rFonts w:ascii="標楷體" w:eastAsia="標楷體" w:hAnsi="標楷體"/>
          <w:color w:val="000000"/>
          <w:sz w:val="28"/>
          <w:szCs w:val="28"/>
        </w:rPr>
        <w:t>，司法院單位決算賸餘數為2</w:t>
      </w:r>
      <w:r w:rsidR="00C10C31" w:rsidRPr="00134B54">
        <w:rPr>
          <w:rFonts w:ascii="標楷體" w:eastAsia="標楷體" w:hAnsi="標楷體" w:hint="eastAsia"/>
          <w:color w:val="000000"/>
          <w:sz w:val="28"/>
          <w:szCs w:val="28"/>
        </w:rPr>
        <w:t>億</w:t>
      </w:r>
      <w:r w:rsidRPr="00134B54">
        <w:rPr>
          <w:rFonts w:ascii="標楷體" w:eastAsia="標楷體" w:hAnsi="標楷體"/>
          <w:color w:val="000000"/>
          <w:sz w:val="28"/>
          <w:szCs w:val="28"/>
        </w:rPr>
        <w:t>4</w:t>
      </w:r>
      <w:r w:rsidR="00C10C31" w:rsidRPr="00134B54">
        <w:rPr>
          <w:rFonts w:ascii="標楷體" w:eastAsia="標楷體" w:hAnsi="標楷體"/>
          <w:color w:val="000000"/>
          <w:sz w:val="28"/>
          <w:szCs w:val="28"/>
        </w:rPr>
        <w:t>,</w:t>
      </w:r>
      <w:r w:rsidRPr="00134B54">
        <w:rPr>
          <w:rFonts w:ascii="標楷體" w:eastAsia="標楷體" w:hAnsi="標楷體"/>
          <w:color w:val="000000"/>
          <w:sz w:val="28"/>
          <w:szCs w:val="28"/>
        </w:rPr>
        <w:t>463</w:t>
      </w:r>
      <w:r w:rsidR="00C10C31"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2千元（約2.45億元），合先敘明</w:t>
      </w:r>
      <w:r w:rsidR="00CE6239" w:rsidRPr="00134B54">
        <w:rPr>
          <w:rFonts w:ascii="標楷體" w:eastAsia="標楷體" w:hAnsi="標楷體" w:hint="eastAsia"/>
          <w:color w:val="000000"/>
          <w:sz w:val="28"/>
          <w:szCs w:val="28"/>
        </w:rPr>
        <w:t>。</w:t>
      </w:r>
    </w:p>
    <w:p w14:paraId="4DCCA2C4" w14:textId="3FA9DACC" w:rsidR="00A65617" w:rsidRPr="00134B54" w:rsidRDefault="00E744CB" w:rsidP="00A65617">
      <w:pPr>
        <w:pStyle w:val="a"/>
        <w:numPr>
          <w:ilvl w:val="0"/>
          <w:numId w:val="0"/>
        </w:numPr>
        <w:ind w:left="924" w:firstLineChars="200" w:firstLine="560"/>
      </w:pPr>
      <w:r w:rsidRPr="00134B54">
        <w:t>115年度</w:t>
      </w:r>
      <w:r w:rsidR="00C10C31" w:rsidRPr="00134B54">
        <w:rPr>
          <w:rFonts w:hint="eastAsia"/>
        </w:rPr>
        <w:t>「</w:t>
      </w:r>
      <w:r w:rsidRPr="00134B54">
        <w:t>業務費</w:t>
      </w:r>
      <w:r w:rsidR="00C10C31" w:rsidRPr="00134B54">
        <w:rPr>
          <w:rFonts w:hint="eastAsia"/>
        </w:rPr>
        <w:t>」</w:t>
      </w:r>
      <w:r w:rsidRPr="00134B54">
        <w:t>項下</w:t>
      </w:r>
      <w:r w:rsidR="00C10C31" w:rsidRPr="00134B54">
        <w:t>「水電費」</w:t>
      </w:r>
      <w:r w:rsidRPr="00134B54">
        <w:t>預算編列1</w:t>
      </w:r>
      <w:r w:rsidR="00C10C31" w:rsidRPr="00134B54">
        <w:t>,</w:t>
      </w:r>
      <w:r w:rsidRPr="00134B54">
        <w:t>680</w:t>
      </w:r>
      <w:bookmarkStart w:id="29" w:name="_Hlk230017957"/>
      <w:r w:rsidR="00C10C31" w:rsidRPr="00134B54">
        <w:rPr>
          <w:rFonts w:hint="eastAsia"/>
        </w:rPr>
        <w:t>萬</w:t>
      </w:r>
      <w:bookmarkEnd w:id="29"/>
      <w:r w:rsidRPr="00134B54">
        <w:t>3千元，與114年</w:t>
      </w:r>
      <w:r w:rsidR="00C10C31" w:rsidRPr="00134B54">
        <w:rPr>
          <w:rFonts w:hint="eastAsia"/>
        </w:rPr>
        <w:t>度</w:t>
      </w:r>
      <w:r w:rsidRPr="00134B54">
        <w:t>法定預算1</w:t>
      </w:r>
      <w:r w:rsidR="00C10C31" w:rsidRPr="00134B54">
        <w:t>,</w:t>
      </w:r>
      <w:r w:rsidRPr="00134B54">
        <w:t>676</w:t>
      </w:r>
      <w:r w:rsidR="00C10C31" w:rsidRPr="00134B54">
        <w:rPr>
          <w:rFonts w:hint="eastAsia"/>
        </w:rPr>
        <w:t>萬</w:t>
      </w:r>
      <w:r w:rsidRPr="00134B54">
        <w:t>6千元相比，增列3</w:t>
      </w:r>
      <w:r w:rsidR="00C10C31" w:rsidRPr="00134B54">
        <w:rPr>
          <w:rFonts w:hint="eastAsia"/>
        </w:rPr>
        <w:t>萬</w:t>
      </w:r>
      <w:r w:rsidRPr="00134B54">
        <w:t>7千元，成長幅度0.22%。</w:t>
      </w:r>
    </w:p>
    <w:p w14:paraId="47C6C026" w14:textId="12D8B26A" w:rsidR="00A65617" w:rsidRPr="00134B54" w:rsidRDefault="00A65617" w:rsidP="00A65617">
      <w:pPr>
        <w:pStyle w:val="a4"/>
        <w:snapToGrid w:val="0"/>
        <w:ind w:leftChars="0" w:left="987"/>
        <w:jc w:val="both"/>
        <w:rPr>
          <w:rFonts w:ascii="標楷體" w:eastAsia="標楷體" w:hAnsi="標楷體"/>
          <w:color w:val="000000"/>
          <w:sz w:val="28"/>
          <w:szCs w:val="28"/>
        </w:rPr>
      </w:pPr>
      <w:r w:rsidRPr="00134B54">
        <w:rPr>
          <w:rFonts w:ascii="標楷體" w:eastAsia="標楷體" w:hAnsi="標楷體"/>
          <w:noProof/>
          <w:color w:val="000000"/>
          <w:sz w:val="28"/>
          <w:szCs w:val="28"/>
        </w:rPr>
        <w:drawing>
          <wp:inline distT="0" distB="0" distL="0" distR="0" wp14:anchorId="1E4149BA" wp14:editId="0F316FB8">
            <wp:extent cx="5400040" cy="915089"/>
            <wp:effectExtent l="0" t="0" r="0" b="0"/>
            <wp:docPr id="1" name="圖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00040" cy="915089"/>
                    </a:xfrm>
                    <a:prstGeom prst="rect">
                      <a:avLst/>
                    </a:prstGeom>
                  </pic:spPr>
                </pic:pic>
              </a:graphicData>
            </a:graphic>
          </wp:inline>
        </w:drawing>
      </w:r>
    </w:p>
    <w:p w14:paraId="321B025E" w14:textId="531FAFDB" w:rsidR="00A65617" w:rsidRPr="00134B54" w:rsidRDefault="00E744CB" w:rsidP="00A65617">
      <w:pPr>
        <w:pStyle w:val="a"/>
        <w:numPr>
          <w:ilvl w:val="0"/>
          <w:numId w:val="0"/>
        </w:numPr>
        <w:ind w:left="924" w:firstLineChars="200" w:firstLine="560"/>
      </w:pPr>
      <w:r w:rsidRPr="00134B54">
        <w:t>經查司法院112至114年</w:t>
      </w:r>
      <w:bookmarkStart w:id="30" w:name="_Hlk230018177"/>
      <w:r w:rsidR="00C10C31" w:rsidRPr="00134B54">
        <w:rPr>
          <w:rFonts w:hint="eastAsia"/>
        </w:rPr>
        <w:t>度</w:t>
      </w:r>
      <w:bookmarkEnd w:id="30"/>
      <w:r w:rsidRPr="00134B54">
        <w:t>決算書資料如上表，114年度「水電費」實際決算數為1</w:t>
      </w:r>
      <w:r w:rsidR="00C10C31" w:rsidRPr="00134B54">
        <w:t>,</w:t>
      </w:r>
      <w:r w:rsidRPr="00134B54">
        <w:t>350</w:t>
      </w:r>
      <w:r w:rsidR="00C10C31" w:rsidRPr="00134B54">
        <w:rPr>
          <w:rFonts w:hint="eastAsia"/>
        </w:rPr>
        <w:t>萬</w:t>
      </w:r>
      <w:r w:rsidRPr="00134B54">
        <w:t>9千元，賸餘數高達326萬元，顯見，原有經費編列與實際需求之間存有相當落差，致使經費運用效益低落。</w:t>
      </w:r>
    </w:p>
    <w:p w14:paraId="3502502D" w14:textId="68E7A559" w:rsidR="00A65617" w:rsidRPr="00134B54" w:rsidRDefault="00E744CB" w:rsidP="00A65617">
      <w:pPr>
        <w:pStyle w:val="a"/>
        <w:numPr>
          <w:ilvl w:val="0"/>
          <w:numId w:val="0"/>
        </w:numPr>
        <w:ind w:left="924" w:firstLineChars="200" w:firstLine="560"/>
      </w:pPr>
      <w:r w:rsidRPr="00134B54">
        <w:t>此外，台</w:t>
      </w:r>
      <w:r w:rsidR="00742406" w:rsidRPr="00134B54">
        <w:rPr>
          <w:rFonts w:hint="eastAsia"/>
        </w:rPr>
        <w:t>灣</w:t>
      </w:r>
      <w:r w:rsidRPr="00134B54">
        <w:t>電</w:t>
      </w:r>
      <w:r w:rsidR="00742406" w:rsidRPr="00134B54">
        <w:rPr>
          <w:rFonts w:hint="eastAsia"/>
        </w:rPr>
        <w:t>力股份有限</w:t>
      </w:r>
      <w:r w:rsidRPr="00134B54">
        <w:t>公司自113年4月1日大幅調漲產業用電12.5</w:t>
      </w:r>
      <w:r w:rsidR="00305DCD" w:rsidRPr="00134B54">
        <w:t>%</w:t>
      </w:r>
      <w:r w:rsidRPr="00134B54">
        <w:t>之後，114年至今，台電公司對政府機關用電並無調整電價的計畫、因此，115年</w:t>
      </w:r>
      <w:r w:rsidR="005A6C32" w:rsidRPr="00134B54">
        <w:rPr>
          <w:rFonts w:hint="eastAsia"/>
        </w:rPr>
        <w:t>度</w:t>
      </w:r>
      <w:r w:rsidRPr="00134B54">
        <w:t>機關電費支出，應與114年</w:t>
      </w:r>
      <w:r w:rsidR="005A6C32" w:rsidRPr="00134B54">
        <w:rPr>
          <w:rFonts w:hint="eastAsia"/>
        </w:rPr>
        <w:t>度</w:t>
      </w:r>
      <w:r w:rsidRPr="00134B54">
        <w:t>決算數相差無幾。</w:t>
      </w:r>
    </w:p>
    <w:p w14:paraId="5ADFEAEC" w14:textId="76ED4F7F" w:rsidR="00A65617" w:rsidRPr="00134B54" w:rsidRDefault="00E744CB" w:rsidP="00A65617">
      <w:pPr>
        <w:pStyle w:val="a"/>
        <w:numPr>
          <w:ilvl w:val="0"/>
          <w:numId w:val="0"/>
        </w:numPr>
        <w:ind w:left="924" w:firstLineChars="200" w:firstLine="560"/>
      </w:pPr>
      <w:r w:rsidRPr="00134B54">
        <w:t>又，115年</w:t>
      </w:r>
      <w:r w:rsidR="00A83754" w:rsidRPr="00134B54">
        <w:rPr>
          <w:rFonts w:hint="eastAsia"/>
        </w:rPr>
        <w:t>度</w:t>
      </w:r>
      <w:r w:rsidRPr="00134B54">
        <w:t>中央政府總預算連同特別預算，已需舉債高達4</w:t>
      </w:r>
      <w:r w:rsidR="00A83754" w:rsidRPr="00134B54">
        <w:rPr>
          <w:rFonts w:hint="eastAsia"/>
        </w:rPr>
        <w:t>,</w:t>
      </w:r>
      <w:r w:rsidR="00A83754" w:rsidRPr="00134B54">
        <w:t>000</w:t>
      </w:r>
      <w:r w:rsidRPr="00134B54">
        <w:t>億元。政府各單位更應量入為出、撙節公帑，減列非必要、非急迫性的支出，以降低國庫舉債、債留子孫的壓力。</w:t>
      </w:r>
    </w:p>
    <w:p w14:paraId="65C2F2A8" w14:textId="7A8F0B9B" w:rsidR="00A65617" w:rsidRPr="00134B54" w:rsidRDefault="00E744CB" w:rsidP="00A65617">
      <w:pPr>
        <w:pStyle w:val="a"/>
        <w:numPr>
          <w:ilvl w:val="0"/>
          <w:numId w:val="0"/>
        </w:numPr>
        <w:ind w:left="924" w:firstLineChars="200" w:firstLine="560"/>
      </w:pPr>
      <w:r w:rsidRPr="00134B54">
        <w:t>且，賴總統</w:t>
      </w:r>
      <w:r w:rsidR="00DA1E9B" w:rsidRPr="00134B54">
        <w:rPr>
          <w:rFonts w:hint="eastAsia"/>
        </w:rPr>
        <w:t>清德</w:t>
      </w:r>
      <w:r w:rsidRPr="00134B54">
        <w:t>為回應美國對台灣應大幅增加國防支出的強硬立場與關切壓力，115年度國防支出已創下歷史新高，達9</w:t>
      </w:r>
      <w:r w:rsidR="00DA1E9B" w:rsidRPr="00134B54">
        <w:t>,</w:t>
      </w:r>
      <w:r w:rsidRPr="00134B54">
        <w:t>495億</w:t>
      </w:r>
      <w:r w:rsidR="00DA1E9B" w:rsidRPr="00134B54">
        <w:rPr>
          <w:rFonts w:hint="eastAsia"/>
        </w:rPr>
        <w:t>元</w:t>
      </w:r>
      <w:r w:rsidRPr="00134B54">
        <w:t>新</w:t>
      </w:r>
      <w:r w:rsidR="00DA1E9B" w:rsidRPr="00134B54">
        <w:rPr>
          <w:rFonts w:hint="eastAsia"/>
        </w:rPr>
        <w:t>臺</w:t>
      </w:r>
      <w:r w:rsidRPr="00134B54">
        <w:t>幣；大舉增加國防支出，必定會嚴重排擠年度的教育、文化等支出，亦即，各部會應勒緊褲帶，共體時艱、以撙節支出的具體行動，來呼應賴總統對美方要求大幅增加國防支出的承諾。</w:t>
      </w:r>
    </w:p>
    <w:p w14:paraId="1E4D75FE" w14:textId="269B1DAA" w:rsidR="00E744CB" w:rsidRPr="00134B54" w:rsidRDefault="00E744CB" w:rsidP="00A65617">
      <w:pPr>
        <w:pStyle w:val="a"/>
        <w:numPr>
          <w:ilvl w:val="0"/>
          <w:numId w:val="0"/>
        </w:numPr>
        <w:ind w:left="924" w:firstLineChars="200" w:firstLine="560"/>
      </w:pPr>
      <w:r w:rsidRPr="00134B54">
        <w:t>惟</w:t>
      </w:r>
      <w:r w:rsidR="008E2791" w:rsidRPr="00134B54">
        <w:t>115年度</w:t>
      </w:r>
      <w:r w:rsidRPr="00134B54">
        <w:t>司法院預算案編列「水電費」1</w:t>
      </w:r>
      <w:r w:rsidR="008E2791" w:rsidRPr="00134B54">
        <w:t>,</w:t>
      </w:r>
      <w:r w:rsidRPr="00134B54">
        <w:t>680</w:t>
      </w:r>
      <w:r w:rsidR="008E2791" w:rsidRPr="00134B54">
        <w:rPr>
          <w:rFonts w:hint="eastAsia"/>
        </w:rPr>
        <w:t>萬</w:t>
      </w:r>
      <w:r w:rsidRPr="00134B54">
        <w:t>3千元，與114年</w:t>
      </w:r>
      <w:r w:rsidR="008E2791" w:rsidRPr="00134B54">
        <w:rPr>
          <w:rFonts w:hint="eastAsia"/>
        </w:rPr>
        <w:t>度</w:t>
      </w:r>
      <w:r w:rsidRPr="00134B54">
        <w:t>法定預算相比，增列3</w:t>
      </w:r>
      <w:r w:rsidR="008E2791" w:rsidRPr="00134B54">
        <w:rPr>
          <w:rFonts w:hint="eastAsia"/>
        </w:rPr>
        <w:t>萬</w:t>
      </w:r>
      <w:r w:rsidRPr="00134B54">
        <w:t>7千元，微幅成長0.22%。</w:t>
      </w:r>
      <w:r w:rsidR="006479F9" w:rsidRPr="00134B54">
        <w:rPr>
          <w:rFonts w:hint="eastAsia"/>
        </w:rPr>
        <w:t>經該院說明係因應新增辦公院區進駐使用新增電費，惟</w:t>
      </w:r>
      <w:r w:rsidRPr="00134B54">
        <w:t>有鑑於114年度司法院水電費決算賸餘數高達326萬元，為恪守財政紀律，且為兌現賴總統對美方的承諾，配合國防支出大幅增加之影響而必須撙節經費，爰</w:t>
      </w:r>
      <w:r w:rsidR="006E27F8" w:rsidRPr="00134B54">
        <w:rPr>
          <w:rFonts w:hint="eastAsia"/>
        </w:rPr>
        <w:t>請司法院應落實節能減碳政策</w:t>
      </w:r>
      <w:r w:rsidRPr="00134B54">
        <w:t>，</w:t>
      </w:r>
      <w:r w:rsidR="006E27F8" w:rsidRPr="00134B54">
        <w:rPr>
          <w:rFonts w:hint="eastAsia"/>
        </w:rPr>
        <w:t>並於</w:t>
      </w:r>
      <w:r w:rsidR="00A6489C" w:rsidRPr="00134B54">
        <w:t>1</w:t>
      </w:r>
      <w:r w:rsidR="006E27F8" w:rsidRPr="00134B54">
        <w:rPr>
          <w:rFonts w:hint="eastAsia"/>
        </w:rPr>
        <w:t>個月內</w:t>
      </w:r>
      <w:r w:rsidR="00CE6239" w:rsidRPr="00134B54">
        <w:rPr>
          <w:rFonts w:hint="eastAsia"/>
        </w:rPr>
        <w:t>向立法院司法及法制委員會</w:t>
      </w:r>
      <w:r w:rsidR="006E27F8" w:rsidRPr="00134B54">
        <w:rPr>
          <w:rFonts w:hint="eastAsia"/>
        </w:rPr>
        <w:t>提出書面報告，</w:t>
      </w:r>
      <w:r w:rsidRPr="00134B54">
        <w:t>以避免有限之財政資源閒置與浪費，而撙節之經費又可支援國防軍費</w:t>
      </w:r>
      <w:r w:rsidRPr="00134B54">
        <w:lastRenderedPageBreak/>
        <w:t>的大幅增加。【4】</w:t>
      </w:r>
    </w:p>
    <w:p w14:paraId="4CE9327C" w14:textId="3A76413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65B10F7B" w14:textId="157C9630"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連署人：林倩綺　吳宗憲</w:t>
      </w:r>
    </w:p>
    <w:p w14:paraId="3E8628B1" w14:textId="4587E1B3" w:rsidR="00F40989" w:rsidRPr="00134B54" w:rsidRDefault="00AB5DBA" w:rsidP="00AB5DBA">
      <w:pPr>
        <w:pStyle w:val="a4"/>
        <w:numPr>
          <w:ilvl w:val="0"/>
          <w:numId w:val="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115年度司法院預算案於第1目「一般行政」項下「人員維持」編列預算7億2,552萬4千元，較114年度增加4</w:t>
      </w:r>
      <w:r w:rsidR="00483827" w:rsidRPr="00134B54">
        <w:rPr>
          <w:rFonts w:ascii="標楷體" w:eastAsia="標楷體" w:hAnsi="標楷體"/>
          <w:color w:val="000000"/>
          <w:sz w:val="28"/>
          <w:szCs w:val="28"/>
        </w:rPr>
        <w:t>,</w:t>
      </w:r>
      <w:r w:rsidRPr="00134B54">
        <w:rPr>
          <w:rFonts w:ascii="標楷體" w:eastAsia="標楷體" w:hAnsi="標楷體"/>
          <w:color w:val="000000"/>
          <w:sz w:val="28"/>
          <w:szCs w:val="28"/>
        </w:rPr>
        <w:t>967萬5千元。然觀察各地方法院刑事案件收結情形：111年度新收案件數45</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5,594件，終結44</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6,326件，未結8</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1,660件，平均</w:t>
      </w:r>
      <w:r w:rsidR="00236ED7" w:rsidRPr="00134B54">
        <w:rPr>
          <w:rFonts w:ascii="標楷體" w:eastAsia="標楷體" w:hAnsi="標楷體" w:hint="eastAsia"/>
          <w:color w:val="000000"/>
          <w:sz w:val="28"/>
          <w:szCs w:val="28"/>
        </w:rPr>
        <w:t>1</w:t>
      </w:r>
      <w:r w:rsidRPr="00134B54">
        <w:rPr>
          <w:rFonts w:ascii="標楷體" w:eastAsia="標楷體" w:hAnsi="標楷體"/>
          <w:color w:val="000000"/>
          <w:sz w:val="28"/>
          <w:szCs w:val="28"/>
        </w:rPr>
        <w:t>件終結所需日數為99.78日；112年度新收48</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3,136件，終結47</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1,623件，未結9</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3,173件，平均</w:t>
      </w:r>
      <w:r w:rsidR="00236ED7" w:rsidRPr="00134B54">
        <w:rPr>
          <w:rFonts w:ascii="標楷體" w:eastAsia="標楷體" w:hAnsi="標楷體" w:hint="eastAsia"/>
          <w:color w:val="000000"/>
          <w:sz w:val="28"/>
          <w:szCs w:val="28"/>
        </w:rPr>
        <w:t>1</w:t>
      </w:r>
      <w:r w:rsidRPr="00134B54">
        <w:rPr>
          <w:rFonts w:ascii="標楷體" w:eastAsia="標楷體" w:hAnsi="標楷體"/>
          <w:color w:val="000000"/>
          <w:sz w:val="28"/>
          <w:szCs w:val="28"/>
        </w:rPr>
        <w:t>件終結所需日數為100.92日；113年度新收51</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4,451件，終結50</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3,000件，未結10</w:t>
      </w:r>
      <w:r w:rsidR="00236ED7" w:rsidRPr="00134B54">
        <w:rPr>
          <w:rFonts w:ascii="標楷體" w:eastAsia="標楷體" w:hAnsi="標楷體" w:hint="eastAsia"/>
          <w:color w:val="000000"/>
          <w:sz w:val="28"/>
          <w:szCs w:val="28"/>
        </w:rPr>
        <w:t>萬</w:t>
      </w:r>
      <w:r w:rsidRPr="00134B54">
        <w:rPr>
          <w:rFonts w:ascii="標楷體" w:eastAsia="標楷體" w:hAnsi="標楷體"/>
          <w:color w:val="000000"/>
          <w:sz w:val="28"/>
          <w:szCs w:val="28"/>
        </w:rPr>
        <w:t>4,624件，平均</w:t>
      </w:r>
      <w:r w:rsidR="00236ED7" w:rsidRPr="00134B54">
        <w:rPr>
          <w:rFonts w:ascii="標楷體" w:eastAsia="標楷體" w:hAnsi="標楷體" w:hint="eastAsia"/>
          <w:color w:val="000000"/>
          <w:sz w:val="28"/>
          <w:szCs w:val="28"/>
        </w:rPr>
        <w:t>1</w:t>
      </w:r>
      <w:r w:rsidRPr="00134B54">
        <w:rPr>
          <w:rFonts w:ascii="標楷體" w:eastAsia="標楷體" w:hAnsi="標楷體"/>
          <w:color w:val="000000"/>
          <w:sz w:val="28"/>
          <w:szCs w:val="28"/>
        </w:rPr>
        <w:t>件終結所需日數為106.87日。114年度截至7月，新收案件數與</w:t>
      </w:r>
      <w:r w:rsidR="00236ED7" w:rsidRPr="00134B54">
        <w:rPr>
          <w:rFonts w:ascii="標楷體" w:eastAsia="標楷體" w:hAnsi="標楷體" w:hint="eastAsia"/>
          <w:color w:val="000000"/>
          <w:sz w:val="28"/>
          <w:szCs w:val="28"/>
        </w:rPr>
        <w:t>113</w:t>
      </w:r>
      <w:r w:rsidRPr="00134B54">
        <w:rPr>
          <w:rFonts w:ascii="標楷體" w:eastAsia="標楷體" w:hAnsi="標楷體"/>
          <w:color w:val="000000"/>
          <w:sz w:val="28"/>
          <w:szCs w:val="28"/>
        </w:rPr>
        <w:t>年</w:t>
      </w:r>
      <w:r w:rsidR="00236ED7" w:rsidRPr="00134B54">
        <w:rPr>
          <w:rFonts w:ascii="標楷體" w:eastAsia="標楷體" w:hAnsi="標楷體"/>
          <w:color w:val="000000"/>
          <w:sz w:val="28"/>
          <w:szCs w:val="28"/>
        </w:rPr>
        <w:t>度</w:t>
      </w:r>
      <w:r w:rsidRPr="00134B54">
        <w:rPr>
          <w:rFonts w:ascii="標楷體" w:eastAsia="標楷體" w:hAnsi="標楷體"/>
          <w:color w:val="000000"/>
          <w:sz w:val="28"/>
          <w:szCs w:val="28"/>
        </w:rPr>
        <w:t>同期比較，增幅已達8.3%。從前述數據可見，案件量逐年攀升，平均結案日數亦呈上升趨勢，未結案件數持續增加，顯示基層司法人員工作負荷日益沉重，過勞問題嚴峻，而至今未見有效改善。司法院應提出具體因應方案，以維護司法品質並保障司法人員權益。</w:t>
      </w:r>
    </w:p>
    <w:p w14:paraId="56456D62" w14:textId="31626320" w:rsidR="00AB5DBA" w:rsidRPr="00134B54" w:rsidRDefault="00B80C39" w:rsidP="00F40989">
      <w:pPr>
        <w:pStyle w:val="a"/>
        <w:numPr>
          <w:ilvl w:val="0"/>
          <w:numId w:val="0"/>
        </w:numPr>
        <w:ind w:left="924" w:firstLineChars="200" w:firstLine="560"/>
      </w:pPr>
      <w:r w:rsidRPr="00134B54">
        <w:rPr>
          <w:rFonts w:hint="eastAsia"/>
        </w:rPr>
        <w:t>請</w:t>
      </w:r>
      <w:r w:rsidR="00AB5DBA" w:rsidRPr="00134B54">
        <w:t>司法院於</w:t>
      </w:r>
      <w:r w:rsidR="00587E1B" w:rsidRPr="00134B54">
        <w:rPr>
          <w:rFonts w:hint="eastAsia"/>
        </w:rPr>
        <w:t>2</w:t>
      </w:r>
      <w:r w:rsidR="00AB5DBA" w:rsidRPr="00134B54">
        <w:t>個月內向立法院司法及法制委員會提出</w:t>
      </w:r>
      <w:r w:rsidRPr="00134B54">
        <w:rPr>
          <w:rFonts w:hint="eastAsia"/>
        </w:rPr>
        <w:t>書面</w:t>
      </w:r>
      <w:r w:rsidR="00AB5DBA" w:rsidRPr="00134B54">
        <w:t>報告，詳述各級法院案件處理趨勢、工作負荷評估及改善司法人員過勞之具體措施。【13】</w:t>
      </w:r>
    </w:p>
    <w:p w14:paraId="40822DAE" w14:textId="77777777" w:rsidR="00AB5DBA" w:rsidRPr="00134B54" w:rsidRDefault="00AB5DBA" w:rsidP="00AB5DBA">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5D1F4753" w14:textId="77777777" w:rsidR="00AB5DBA" w:rsidRPr="00134B54" w:rsidRDefault="00AB5DBA" w:rsidP="00AB5DBA">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5A5D3B9F" w14:textId="46BFA394" w:rsidR="00B80C39" w:rsidRPr="00134B54" w:rsidRDefault="00B80C39" w:rsidP="00F07275">
      <w:pPr>
        <w:pStyle w:val="1"/>
      </w:pPr>
      <w:r w:rsidRPr="00134B54">
        <w:t>115年度司法院預算案於第1目「一般行政」項下「人員維持」中「人事費」之「約聘僱人員待遇」</w:t>
      </w:r>
      <w:r w:rsidR="00BB0133" w:rsidRPr="00134B54">
        <w:rPr>
          <w:rFonts w:hint="eastAsia"/>
        </w:rPr>
        <w:t>編列</w:t>
      </w:r>
      <w:r w:rsidRPr="00134B54">
        <w:t>4</w:t>
      </w:r>
      <w:r w:rsidR="006E56BC" w:rsidRPr="00134B54">
        <w:t>,</w:t>
      </w:r>
      <w:r w:rsidRPr="00134B54">
        <w:t>753</w:t>
      </w:r>
      <w:r w:rsidR="006E56BC" w:rsidRPr="00134B54">
        <w:rPr>
          <w:rFonts w:hint="eastAsia"/>
        </w:rPr>
        <w:t>萬</w:t>
      </w:r>
      <w:r w:rsidRPr="00134B54">
        <w:t>7千元，主要係增列14人，預算增加25%（114年度約聘僱人員待遇3</w:t>
      </w:r>
      <w:r w:rsidR="00540A2A" w:rsidRPr="00134B54">
        <w:t>,</w:t>
      </w:r>
      <w:r w:rsidRPr="00134B54">
        <w:t>802</w:t>
      </w:r>
      <w:r w:rsidR="00540A2A" w:rsidRPr="00134B54">
        <w:rPr>
          <w:rFonts w:hint="eastAsia"/>
        </w:rPr>
        <w:t>萬</w:t>
      </w:r>
      <w:r w:rsidRPr="00134B54">
        <w:t>7千元，聘用人員51人）。經查，其中22名係借調至司法院各廳處之員額撥回，其餘5名則為減列其他員額後改置聘用員額。</w:t>
      </w:r>
    </w:p>
    <w:p w14:paraId="45C52225" w14:textId="689D65F6" w:rsidR="00B80C39" w:rsidRPr="00134B54" w:rsidRDefault="00B80C39" w:rsidP="00F07275">
      <w:pPr>
        <w:pStyle w:val="10"/>
      </w:pPr>
      <w:r w:rsidRPr="00134B54">
        <w:t>按聘用人員員額數除機關組織法規另有規定者外，以不超過機關預算總人數5%為原則。</w:t>
      </w:r>
      <w:r w:rsidR="00AB595C" w:rsidRPr="00134B54">
        <w:rPr>
          <w:rFonts w:hint="eastAsia"/>
        </w:rPr>
        <w:t>立法</w:t>
      </w:r>
      <w:r w:rsidRPr="00134B54">
        <w:t>院預算中心指出，司法院聘用預算員額進用比率高達16.8%，遠遠高於5%。司法院雖「確有重大特殊業務考量」例外規定之適用，但長久下來，加重中央政府財政負擔，連帶產生員工福利、工作穩定性、升遷發展以及潛在的薪資結構不公平等問題。過度依賴約聘僱人員，不僅影響組織內部長期發展的穩定性及員工的士氣，人力流動性大，也難以累積長期的組織經驗和專業。</w:t>
      </w:r>
    </w:p>
    <w:p w14:paraId="36BBC80C" w14:textId="7E5E1F2A" w:rsidR="00B80C39" w:rsidRPr="00134B54" w:rsidRDefault="00B80C39" w:rsidP="00B65415">
      <w:pPr>
        <w:pStyle w:val="a"/>
        <w:numPr>
          <w:ilvl w:val="0"/>
          <w:numId w:val="0"/>
        </w:numPr>
        <w:ind w:left="924" w:firstLineChars="200" w:firstLine="560"/>
      </w:pPr>
      <w:r w:rsidRPr="00134B54">
        <w:t>為避免人事成本不斷成長，影響國家整體資源配置，各機</w:t>
      </w:r>
      <w:r w:rsidRPr="00134B54">
        <w:lastRenderedPageBreak/>
        <w:t>關均應恪守精實用人原則，依業務內容、預算額度及法令規範等因素審慎檢討評估各種人力類型之分配，</w:t>
      </w:r>
      <w:r w:rsidRPr="00134B54">
        <w:rPr>
          <w:rFonts w:hint="eastAsia"/>
        </w:rPr>
        <w:t>請</w:t>
      </w:r>
      <w:r w:rsidRPr="00134B54">
        <w:t>司法院於</w:t>
      </w:r>
      <w:r w:rsidRPr="00134B54">
        <w:rPr>
          <w:rFonts w:hint="eastAsia"/>
        </w:rPr>
        <w:t>2</w:t>
      </w:r>
      <w:r w:rsidRPr="00134B54">
        <w:t>個月內向立法院司法及法制委員會提出司法院人力結構、預算支出及影響檢討改進書面報告。【14】</w:t>
      </w:r>
    </w:p>
    <w:p w14:paraId="5CF64FB2" w14:textId="77777777" w:rsidR="00B80C39" w:rsidRPr="00134B54" w:rsidRDefault="00B80C39" w:rsidP="00F07275">
      <w:pPr>
        <w:pStyle w:val="21"/>
      </w:pPr>
      <w:r w:rsidRPr="00134B54">
        <w:t>提案人：翁曉玲</w:t>
      </w:r>
    </w:p>
    <w:p w14:paraId="705C499C" w14:textId="77777777" w:rsidR="00B80C39" w:rsidRPr="00134B54" w:rsidRDefault="00B80C39" w:rsidP="00F07275">
      <w:pPr>
        <w:pStyle w:val="21"/>
      </w:pPr>
      <w:r w:rsidRPr="00134B54">
        <w:t>連署人：許宇甄　陳昭姿</w:t>
      </w:r>
    </w:p>
    <w:p w14:paraId="14B5BF79" w14:textId="77777777" w:rsidR="00F3713C" w:rsidRPr="00134B54" w:rsidRDefault="00F3713C" w:rsidP="00F3713C">
      <w:pPr>
        <w:pStyle w:val="a"/>
        <w:ind w:left="924" w:hanging="567"/>
      </w:pPr>
      <w:r w:rsidRPr="00134B54">
        <w:t>全國法院書記官人力缺額率破10%、國考報到率大幅下滑，導致「血汗司法」惡性循環並嚴重衝擊審判行政品質之困境，提出具體改善專案報告。</w:t>
      </w:r>
    </w:p>
    <w:p w14:paraId="1B7F3F7B" w14:textId="5904F6D6" w:rsidR="00F3713C" w:rsidRPr="00134B54" w:rsidRDefault="00F3713C" w:rsidP="003012A6">
      <w:pPr>
        <w:pStyle w:val="a"/>
        <w:numPr>
          <w:ilvl w:val="0"/>
          <w:numId w:val="0"/>
        </w:numPr>
        <w:ind w:left="924" w:firstLineChars="200" w:firstLine="560"/>
      </w:pPr>
      <w:r w:rsidRPr="00134B54">
        <w:t>截至115年5月，全國法院書記官缺額已達353人，缺額率超過一成，尤以</w:t>
      </w:r>
      <w:r w:rsidR="00706FD7" w:rsidRPr="00134B54">
        <w:rPr>
          <w:rFonts w:hint="eastAsia"/>
        </w:rPr>
        <w:t>臺灣</w:t>
      </w:r>
      <w:r w:rsidRPr="00134B54">
        <w:t>新北地</w:t>
      </w:r>
      <w:r w:rsidR="00706FD7" w:rsidRPr="00134B54">
        <w:rPr>
          <w:rFonts w:hint="eastAsia"/>
        </w:rPr>
        <w:t>方法</w:t>
      </w:r>
      <w:r w:rsidRPr="00134B54">
        <w:t>院、</w:t>
      </w:r>
      <w:r w:rsidR="00706FD7" w:rsidRPr="00134B54">
        <w:rPr>
          <w:rFonts w:hint="eastAsia"/>
        </w:rPr>
        <w:t>臺</w:t>
      </w:r>
      <w:r w:rsidRPr="00134B54">
        <w:t>灣高等法院等案件繁重區域最為嚴峻。近年書記官國考報到率從過去的</w:t>
      </w:r>
      <w:r w:rsidR="00221C0D" w:rsidRPr="00134B54">
        <w:rPr>
          <w:rFonts w:hint="eastAsia"/>
        </w:rPr>
        <w:t>七</w:t>
      </w:r>
      <w:r w:rsidRPr="00134B54">
        <w:t>成跌至</w:t>
      </w:r>
      <w:r w:rsidR="00221C0D" w:rsidRPr="00134B54">
        <w:rPr>
          <w:rFonts w:hint="eastAsia"/>
        </w:rPr>
        <w:t>五</w:t>
      </w:r>
      <w:r w:rsidRPr="00134B54">
        <w:t>成，部分重點院所甚至出現錄取者僅2人報到之窘境，顯示司法體系已面臨嚴重的人才荒，職場環境與誘因已不足以留才、攬才。</w:t>
      </w:r>
    </w:p>
    <w:p w14:paraId="7BB2FFD6" w14:textId="0E3D5B96" w:rsidR="00F3713C" w:rsidRPr="00134B54" w:rsidRDefault="00F3713C" w:rsidP="003012A6">
      <w:pPr>
        <w:pStyle w:val="a"/>
        <w:numPr>
          <w:ilvl w:val="0"/>
          <w:numId w:val="0"/>
        </w:numPr>
        <w:ind w:left="924" w:firstLineChars="200" w:firstLine="560"/>
      </w:pPr>
      <w:r w:rsidRPr="00134B54">
        <w:t>查司法案件量因「電信詐欺」及「科技犯罪」激增，110至114年新收案量達97萬件，基層書記官除須負責高度專業的法庭紀錄與卷證整理，更須負擔繁雜的行政管考與文書送達。然而，書記官之專業加給長期未能與其法律責任及勞動強度對稱，導致基層同仁紛紛轉考法官助理或離職。113年發生的</w:t>
      </w:r>
      <w:r w:rsidR="00C62D96" w:rsidRPr="00134B54">
        <w:rPr>
          <w:rFonts w:hint="eastAsia"/>
        </w:rPr>
        <w:t>臺灣</w:t>
      </w:r>
      <w:r w:rsidRPr="00134B54">
        <w:t>苗栗</w:t>
      </w:r>
      <w:r w:rsidR="00C62D96" w:rsidRPr="00134B54">
        <w:rPr>
          <w:rFonts w:hint="eastAsia"/>
        </w:rPr>
        <w:t>地方法</w:t>
      </w:r>
      <w:r w:rsidRPr="00134B54">
        <w:t>院書記官過勞殉職事件，以及近期發生因行政疏漏導致「判決確定五年漏未執行」之離譜情事，均凸顯書記官過勞與人力流失已非個人問題，而是足以影響司法效能、重創公信力的系統性風險。</w:t>
      </w:r>
    </w:p>
    <w:p w14:paraId="1D0DB0C0" w14:textId="176936D0" w:rsidR="00F3713C" w:rsidRPr="00134B54" w:rsidRDefault="00F3713C" w:rsidP="003012A6">
      <w:pPr>
        <w:pStyle w:val="a"/>
        <w:numPr>
          <w:ilvl w:val="0"/>
          <w:numId w:val="0"/>
        </w:numPr>
        <w:ind w:left="924" w:firstLineChars="200" w:firstLine="560"/>
      </w:pPr>
      <w:r w:rsidRPr="00134B54">
        <w:t>爰要求司法院應於</w:t>
      </w:r>
      <w:r w:rsidR="00221C0D" w:rsidRPr="00134B54">
        <w:rPr>
          <w:rFonts w:hint="eastAsia"/>
        </w:rPr>
        <w:t>3</w:t>
      </w:r>
      <w:r w:rsidRPr="00134B54">
        <w:t>個月內，針對「書記官核心業務減壓」</w:t>
      </w:r>
      <w:r w:rsidR="005C20AC" w:rsidRPr="00134B54">
        <w:rPr>
          <w:rFonts w:hint="eastAsia"/>
        </w:rPr>
        <w:t>向立法院司法及法制委員會</w:t>
      </w:r>
      <w:r w:rsidRPr="00134B54">
        <w:t>提出</w:t>
      </w:r>
      <w:r w:rsidR="00221C0D" w:rsidRPr="00134B54">
        <w:rPr>
          <w:rFonts w:hint="eastAsia"/>
        </w:rPr>
        <w:t>書面報告</w:t>
      </w:r>
      <w:r w:rsidRPr="00134B54">
        <w:t>。內容應包含：針對案件繁重法院增聘臨時行政人力以分擔非核心庶務，</w:t>
      </w:r>
      <w:r w:rsidR="00221C0D" w:rsidRPr="00134B54">
        <w:rPr>
          <w:rFonts w:hint="eastAsia"/>
        </w:rPr>
        <w:t>並就書記官工作環境優化及權益改善研議對策，且由司法院偕同法務部積極研議艱困法院（檢察機關）調增增支專業加給，並建立追蹤機制，管控改善結果，</w:t>
      </w:r>
      <w:r w:rsidRPr="00134B54">
        <w:t>以防止基層人員持續過勞，確保審判程序之正確性與執行時效。【15】</w:t>
      </w:r>
    </w:p>
    <w:p w14:paraId="5F57FEE0" w14:textId="4ED031A5" w:rsidR="00F3713C" w:rsidRPr="00134B54" w:rsidRDefault="00F3713C" w:rsidP="009F1EA5">
      <w:pPr>
        <w:snapToGrid w:val="0"/>
        <w:ind w:leftChars="1500" w:left="4692" w:hangingChars="420" w:hanging="1092"/>
        <w:jc w:val="both"/>
        <w:rPr>
          <w:rFonts w:ascii="標楷體" w:eastAsia="標楷體" w:hAnsi="標楷體"/>
          <w:color w:val="000000"/>
          <w:spacing w:val="-10"/>
          <w:sz w:val="28"/>
          <w:szCs w:val="28"/>
        </w:rPr>
      </w:pPr>
      <w:r w:rsidRPr="00134B54">
        <w:rPr>
          <w:rFonts w:ascii="標楷體" w:eastAsia="標楷體" w:hAnsi="標楷體"/>
          <w:color w:val="000000"/>
          <w:spacing w:val="-10"/>
          <w:sz w:val="28"/>
          <w:szCs w:val="28"/>
        </w:rPr>
        <w:t>提案人：</w:t>
      </w:r>
      <w:r w:rsidRPr="00865F65">
        <w:rPr>
          <w:rFonts w:ascii="標楷體" w:eastAsia="標楷體" w:hAnsi="標楷體"/>
          <w:color w:val="000000"/>
          <w:spacing w:val="-14"/>
          <w:sz w:val="28"/>
          <w:szCs w:val="28"/>
        </w:rPr>
        <w:t>陳昭姿　翁曉玲　林沛祥　劉書彬</w:t>
      </w:r>
    </w:p>
    <w:p w14:paraId="37215168" w14:textId="58DD5FCD" w:rsidR="00045290" w:rsidRPr="00134B54" w:rsidRDefault="00764F02" w:rsidP="00F07275">
      <w:pPr>
        <w:pStyle w:val="1"/>
        <w:rPr>
          <w:shd w:val="clear" w:color="auto" w:fill="FFFFFF"/>
        </w:rPr>
      </w:pPr>
      <w:r w:rsidRPr="00134B54">
        <w:rPr>
          <w:shd w:val="clear" w:color="auto" w:fill="FFFFFF"/>
        </w:rPr>
        <w:t>115年度司法院預算案於第1目「一般行政」項下「辦理司法行政業務」</w:t>
      </w:r>
      <w:r w:rsidR="00ED299A" w:rsidRPr="00134B54">
        <w:rPr>
          <w:rFonts w:hint="eastAsia"/>
          <w:shd w:val="clear" w:color="auto" w:fill="FFFFFF"/>
        </w:rPr>
        <w:t>編列</w:t>
      </w:r>
      <w:r w:rsidRPr="00134B54">
        <w:rPr>
          <w:shd w:val="clear" w:color="auto" w:fill="FFFFFF"/>
        </w:rPr>
        <w:t>辦理法律教育推廣宣導經費1</w:t>
      </w:r>
      <w:r w:rsidR="00ED299A" w:rsidRPr="00134B54">
        <w:rPr>
          <w:shd w:val="clear" w:color="auto" w:fill="FFFFFF"/>
        </w:rPr>
        <w:t>,</w:t>
      </w:r>
      <w:r w:rsidRPr="00134B54">
        <w:rPr>
          <w:shd w:val="clear" w:color="auto" w:fill="FFFFFF"/>
        </w:rPr>
        <w:t>550</w:t>
      </w:r>
      <w:r w:rsidR="00ED299A" w:rsidRPr="00134B54">
        <w:rPr>
          <w:rFonts w:hint="eastAsia"/>
          <w:shd w:val="clear" w:color="auto" w:fill="FFFFFF"/>
        </w:rPr>
        <w:t>萬</w:t>
      </w:r>
      <w:r w:rsidRPr="00134B54">
        <w:rPr>
          <w:shd w:val="clear" w:color="auto" w:fill="FFFFFF"/>
        </w:rPr>
        <w:t>元。</w:t>
      </w:r>
    </w:p>
    <w:p w14:paraId="7D8C9592" w14:textId="1C165A07" w:rsidR="00045290" w:rsidRPr="00134B54" w:rsidRDefault="00764F02" w:rsidP="00A85F92">
      <w:pPr>
        <w:pStyle w:val="a"/>
        <w:numPr>
          <w:ilvl w:val="0"/>
          <w:numId w:val="0"/>
        </w:numPr>
        <w:ind w:left="924" w:firstLineChars="200" w:firstLine="560"/>
      </w:pPr>
      <w:r w:rsidRPr="00134B54">
        <w:t>115年度司法院於「一般行政」項下「法律教育推廣宣導經費」</w:t>
      </w:r>
      <w:r w:rsidR="00ED299A" w:rsidRPr="00134B54">
        <w:t>編列</w:t>
      </w:r>
      <w:r w:rsidRPr="00134B54">
        <w:t>1,550萬元，較114年度法定預算1,100萬元增加450</w:t>
      </w:r>
      <w:r w:rsidRPr="00134B54">
        <w:lastRenderedPageBreak/>
        <w:t>萬元，增幅達40.91%，顯著高於中央政府總預算歲出增幅3.8%。</w:t>
      </w:r>
    </w:p>
    <w:p w14:paraId="293CBC4B" w14:textId="77777777" w:rsidR="00045290" w:rsidRPr="00134B54" w:rsidRDefault="00764F02" w:rsidP="00F07275">
      <w:pPr>
        <w:pStyle w:val="10"/>
      </w:pPr>
      <w:r w:rsidRPr="00134B54">
        <w:t>立法院早於民國99年通過《少年及家事法院組織法》並作成附帶決議，要求5年內於北、中、南、東各設一所專業法院。然司法院因與地方政府在土地撥用價款上未取得共識，導致北少家法院計畫歷時逾10年仍未啟動興建，行政效能極其低下。</w:t>
      </w:r>
    </w:p>
    <w:p w14:paraId="00490518" w14:textId="08B9AA65" w:rsidR="00045290" w:rsidRPr="00134B54" w:rsidRDefault="00764F02" w:rsidP="00A85F92">
      <w:pPr>
        <w:pStyle w:val="a"/>
        <w:numPr>
          <w:ilvl w:val="0"/>
          <w:numId w:val="0"/>
        </w:numPr>
        <w:ind w:left="924" w:firstLineChars="200" w:firstLine="560"/>
      </w:pPr>
      <w:r w:rsidRPr="00134B54">
        <w:t>北部少年及家事法院籌設延宕多年，審計部及立法院預算中心均已指出相關問題。預算中心評估報告亦將「</w:t>
      </w:r>
      <w:r w:rsidR="00814F17" w:rsidRPr="00134B54">
        <w:rPr>
          <w:rFonts w:hint="eastAsia"/>
        </w:rPr>
        <w:t>臺灣</w:t>
      </w:r>
      <w:r w:rsidRPr="00134B54">
        <w:t>新北地</w:t>
      </w:r>
      <w:r w:rsidR="00814F17" w:rsidRPr="00134B54">
        <w:rPr>
          <w:rFonts w:hint="eastAsia"/>
        </w:rPr>
        <w:t>方法</w:t>
      </w:r>
      <w:r w:rsidRPr="00134B54">
        <w:t>院115年度新增編列遷建土城司法園區購地計畫」列為評估重點，顯示北少家及北區少年家事司法量能問題，已非單一年度宣導或展示預算可迴避。</w:t>
      </w:r>
    </w:p>
    <w:p w14:paraId="0DAC326A" w14:textId="77777777" w:rsidR="00045290" w:rsidRPr="00134B54" w:rsidRDefault="00764F02" w:rsidP="00A85F92">
      <w:pPr>
        <w:pStyle w:val="a"/>
        <w:numPr>
          <w:ilvl w:val="0"/>
          <w:numId w:val="0"/>
        </w:numPr>
        <w:ind w:left="924" w:firstLineChars="200" w:firstLine="560"/>
      </w:pPr>
      <w:r w:rsidRPr="00134B54">
        <w:t>直至112年底發生校園割喉案，社會重新關注少年司法專業化之迫切，司法院才重啟協商。此種「發生慘案才辦理」之被動施政態度，充分反映對少年保護業務之輕忽。</w:t>
      </w:r>
    </w:p>
    <w:p w14:paraId="531472C9" w14:textId="77777777" w:rsidR="00045290" w:rsidRPr="00134B54" w:rsidRDefault="00764F02" w:rsidP="00A85F92">
      <w:pPr>
        <w:pStyle w:val="a"/>
        <w:numPr>
          <w:ilvl w:val="0"/>
          <w:numId w:val="0"/>
        </w:numPr>
        <w:ind w:left="924" w:firstLineChars="200" w:firstLine="560"/>
      </w:pPr>
      <w:r w:rsidRPr="00134B54">
        <w:t>目前司法院雖爭取到都更分回之「土城運校段」與「新店中華段」國有辦公廳舍作為替代方案，但距離掛牌尚有漫長空窗期。目前台北、士林、新北三院之少年調查保護官平均每人年負擔案件高達253件，工作負荷早已崩潰，司法院卻未能在替代方案中明確說明如何即刻補足專業人力缺口，而非僅在書面上等待新大樓落成。</w:t>
      </w:r>
    </w:p>
    <w:p w14:paraId="3D07D5A1" w14:textId="77777777" w:rsidR="00045290" w:rsidRPr="00134B54" w:rsidRDefault="00764F02" w:rsidP="00A85F92">
      <w:pPr>
        <w:pStyle w:val="a"/>
        <w:numPr>
          <w:ilvl w:val="0"/>
          <w:numId w:val="0"/>
        </w:numPr>
        <w:ind w:left="924" w:firstLineChars="200" w:firstLine="560"/>
      </w:pPr>
      <w:r w:rsidRPr="00134B54">
        <w:t>司法院115年度施政重點雖稱將研具少年事件處理法相關配套、強化少年保護管束風險管理機制與審前調查報告，惟北少家法院於實體建置完成前，北區高風險少年、家事事件、校園重大暴力案件及安置轉銜案件仍須由既有法院承擔。</w:t>
      </w:r>
    </w:p>
    <w:p w14:paraId="0F84DFCD" w14:textId="77777777" w:rsidR="00045290" w:rsidRPr="00134B54" w:rsidRDefault="00764F02" w:rsidP="00A85F92">
      <w:pPr>
        <w:pStyle w:val="a"/>
        <w:numPr>
          <w:ilvl w:val="0"/>
          <w:numId w:val="0"/>
        </w:numPr>
        <w:ind w:left="924" w:firstLineChars="200" w:firstLine="560"/>
      </w:pPr>
      <w:r w:rsidRPr="00134B54">
        <w:t>若司法院僅持續編列高額宣導、展示及教育推廣經費，卻無北少家未完成前之替代服務方案，則預算配置顯有優先順序失衡之虞。</w:t>
      </w:r>
    </w:p>
    <w:p w14:paraId="13314493" w14:textId="31BCE5CA" w:rsidR="00045290" w:rsidRPr="00134B54" w:rsidRDefault="005A6981" w:rsidP="00A85F92">
      <w:pPr>
        <w:pStyle w:val="a"/>
        <w:numPr>
          <w:ilvl w:val="0"/>
          <w:numId w:val="0"/>
        </w:numPr>
        <w:ind w:left="924" w:firstLineChars="200" w:firstLine="560"/>
      </w:pPr>
      <w:r w:rsidRPr="00134B54">
        <w:rPr>
          <w:rFonts w:hint="eastAsia"/>
        </w:rPr>
        <w:t>請</w:t>
      </w:r>
      <w:r w:rsidR="00764F02" w:rsidRPr="00134B54">
        <w:t>司法院於</w:t>
      </w:r>
      <w:r w:rsidRPr="00134B54">
        <w:rPr>
          <w:rFonts w:hint="eastAsia"/>
        </w:rPr>
        <w:t>3</w:t>
      </w:r>
      <w:r w:rsidR="00764F02" w:rsidRPr="00134B54">
        <w:t>個月內向</w:t>
      </w:r>
      <w:r w:rsidR="00182A00" w:rsidRPr="00134B54">
        <w:rPr>
          <w:rFonts w:hint="eastAsia"/>
        </w:rPr>
        <w:t>立法院</w:t>
      </w:r>
      <w:r w:rsidR="00764F02" w:rsidRPr="00134B54">
        <w:t>司法及法制委員會提出「北區少家替代服務方案」之</w:t>
      </w:r>
      <w:r w:rsidRPr="00134B54">
        <w:rPr>
          <w:rFonts w:hint="eastAsia"/>
        </w:rPr>
        <w:t>書面</w:t>
      </w:r>
      <w:r w:rsidR="00764F02" w:rsidRPr="00134B54">
        <w:t>報告：</w:t>
      </w:r>
    </w:p>
    <w:p w14:paraId="4DF0E0E4" w14:textId="3F9ACB2F" w:rsidR="00045290" w:rsidRPr="00134B54" w:rsidRDefault="00B6695C" w:rsidP="00B6695C">
      <w:pPr>
        <w:pStyle w:val="100"/>
      </w:pPr>
      <w:r w:rsidRPr="00134B54">
        <w:rPr>
          <w:rFonts w:hint="eastAsia"/>
        </w:rPr>
        <w:t xml:space="preserve">       </w:t>
      </w:r>
      <w:r w:rsidR="005A6981" w:rsidRPr="00134B54">
        <w:rPr>
          <w:rFonts w:hint="eastAsia"/>
        </w:rPr>
        <w:t>1.</w:t>
      </w:r>
      <w:r w:rsidR="00764F02" w:rsidRPr="00134B54">
        <w:t>北區四院共享式巡迴支援團隊方案，至少包含臺北、士林、新北、桃園。</w:t>
      </w:r>
    </w:p>
    <w:p w14:paraId="1B3C1DDA" w14:textId="300CE87F" w:rsidR="00045290" w:rsidRPr="00134B54" w:rsidRDefault="00B6695C" w:rsidP="00B6695C">
      <w:pPr>
        <w:pStyle w:val="100"/>
      </w:pPr>
      <w:r w:rsidRPr="00134B54">
        <w:rPr>
          <w:rFonts w:hint="eastAsia"/>
        </w:rPr>
        <w:t xml:space="preserve">       </w:t>
      </w:r>
      <w:r w:rsidR="005A6981" w:rsidRPr="00134B54">
        <w:rPr>
          <w:rFonts w:hint="eastAsia"/>
        </w:rPr>
        <w:t>2.</w:t>
      </w:r>
      <w:r w:rsidR="00764F02" w:rsidRPr="00134B54">
        <w:t>共享社工、心理師、少年調查官、少年保護官助理或相關支援人力配置。</w:t>
      </w:r>
    </w:p>
    <w:p w14:paraId="1D03853A" w14:textId="209BDDDD" w:rsidR="00045290" w:rsidRPr="00134B54" w:rsidRDefault="00B6695C" w:rsidP="00B6695C">
      <w:pPr>
        <w:pStyle w:val="100"/>
      </w:pPr>
      <w:r w:rsidRPr="00134B54">
        <w:rPr>
          <w:rFonts w:hint="eastAsia"/>
        </w:rPr>
        <w:t xml:space="preserve">       </w:t>
      </w:r>
      <w:r w:rsidR="005A6981" w:rsidRPr="00134B54">
        <w:rPr>
          <w:rFonts w:hint="eastAsia"/>
        </w:rPr>
        <w:t>3.</w:t>
      </w:r>
      <w:r w:rsidR="00764F02" w:rsidRPr="00134B54">
        <w:t>安全會談空間、等待空間及視訊銜接設備清冊。</w:t>
      </w:r>
    </w:p>
    <w:p w14:paraId="5B33592F" w14:textId="2EEE99CA" w:rsidR="00A85F92" w:rsidRPr="00134B54" w:rsidRDefault="00B6695C" w:rsidP="00B6695C">
      <w:pPr>
        <w:pStyle w:val="100"/>
      </w:pPr>
      <w:r w:rsidRPr="00134B54">
        <w:rPr>
          <w:rFonts w:hint="eastAsia"/>
        </w:rPr>
        <w:t xml:space="preserve">       </w:t>
      </w:r>
      <w:r w:rsidR="005A6981" w:rsidRPr="00134B54">
        <w:rPr>
          <w:rFonts w:hint="eastAsia"/>
        </w:rPr>
        <w:t>4.</w:t>
      </w:r>
      <w:r w:rsidR="00764F02" w:rsidRPr="00134B54">
        <w:t>社區安置、回校轉銜、家庭支持之個案會議流程。</w:t>
      </w:r>
    </w:p>
    <w:p w14:paraId="4392E978" w14:textId="4EE3B21C" w:rsidR="00764F02" w:rsidRPr="00134B54" w:rsidRDefault="00B6695C" w:rsidP="00B6695C">
      <w:pPr>
        <w:pStyle w:val="100"/>
      </w:pPr>
      <w:r w:rsidRPr="00134B54">
        <w:rPr>
          <w:rFonts w:hint="eastAsia"/>
        </w:rPr>
        <w:t xml:space="preserve">       </w:t>
      </w:r>
      <w:r w:rsidR="005A6981" w:rsidRPr="00134B54">
        <w:rPr>
          <w:rFonts w:hint="eastAsia"/>
        </w:rPr>
        <w:t>5.</w:t>
      </w:r>
      <w:r w:rsidR="00764F02" w:rsidRPr="00134B54">
        <w:t>高風險個案篩選標準、結案標準與追蹤標準。【20】</w:t>
      </w:r>
    </w:p>
    <w:p w14:paraId="7613691F" w14:textId="77777777" w:rsidR="00764F02" w:rsidRPr="00134B54" w:rsidRDefault="00764F02" w:rsidP="00764F02">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提案人：吳宗憲</w:t>
      </w:r>
    </w:p>
    <w:p w14:paraId="61B4C3DE" w14:textId="77777777" w:rsidR="00764F02" w:rsidRPr="00134B54" w:rsidRDefault="00764F02" w:rsidP="00764F02">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連署人：林沛祥　陳昭姿　羅智強</w:t>
      </w:r>
    </w:p>
    <w:p w14:paraId="5B1B70B5" w14:textId="77777777" w:rsidR="00B66163" w:rsidRPr="00134B54" w:rsidRDefault="002D79DF" w:rsidP="002D79DF">
      <w:pPr>
        <w:pStyle w:val="a"/>
        <w:ind w:left="924" w:hanging="567"/>
      </w:pPr>
      <w:r w:rsidRPr="00134B54">
        <w:t>115年度司法院預算案於第2目「憲法訴訟業務」項下「辦理憲法訴訟審判業務」編列預算491萬6千元。係為支應憲法法庭辦理憲法訴訟審判、維持制度運作。惟近期憲法法庭持續引發外界對其組織合法性、評議程序、決議門檻及制度公信力之疑慮，涉及憲法法庭是否遵循法定程序、維持裁判正當性及制度信賴基礎之重大問題。憲法法庭判決具有高度憲政效力，足以影響立法、行政及司法體系運作，故其組成與評議門檻尤應受嚴格檢視。憲法法庭以部分大法官拒絕參與評議，類推適用大法官任命後未到職或依法迴避之規定，不計入現有總額，屬高度爭議之見解。憲法訴訟業務預算之編列，亦應用以維護憲法法庭之合法組成及制度公信。倘司法院未能就憲法法庭組織合法性、評議門檻計算、未參與評議大法官之法律效果及防止極少數大法官作成重大憲政判決之制度界線提出完整說明，難認本項預算係用於具程序正當性之憲法訴訟業務。</w:t>
      </w:r>
    </w:p>
    <w:p w14:paraId="74C8931B" w14:textId="4E4AC141" w:rsidR="002D79DF" w:rsidRPr="00134B54" w:rsidRDefault="002D79DF" w:rsidP="00B66163">
      <w:pPr>
        <w:pStyle w:val="a"/>
        <w:numPr>
          <w:ilvl w:val="0"/>
          <w:numId w:val="0"/>
        </w:numPr>
        <w:ind w:left="924" w:firstLineChars="200" w:firstLine="560"/>
      </w:pPr>
      <w:r w:rsidRPr="00134B54">
        <w:t>司法院</w:t>
      </w:r>
      <w:r w:rsidR="00FF4040" w:rsidRPr="00134B54">
        <w:rPr>
          <w:rFonts w:hint="eastAsia"/>
        </w:rPr>
        <w:t>應</w:t>
      </w:r>
      <w:r w:rsidRPr="00134B54">
        <w:t>於</w:t>
      </w:r>
      <w:r w:rsidR="00D241C7" w:rsidRPr="00134B54">
        <w:rPr>
          <w:rFonts w:hint="eastAsia"/>
        </w:rPr>
        <w:t>2</w:t>
      </w:r>
      <w:r w:rsidRPr="00134B54">
        <w:t>個月內向立法院司法及法制委員會提出</w:t>
      </w:r>
      <w:r w:rsidR="00FF4040" w:rsidRPr="00134B54">
        <w:rPr>
          <w:rFonts w:hint="eastAsia"/>
        </w:rPr>
        <w:t>書面</w:t>
      </w:r>
      <w:r w:rsidRPr="00134B54">
        <w:t>報告。【27】</w:t>
      </w:r>
    </w:p>
    <w:p w14:paraId="4DC07A34" w14:textId="77777777" w:rsidR="002D79DF" w:rsidRPr="00134B54" w:rsidRDefault="002D79DF" w:rsidP="002D79DF">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6C1CFF6B" w14:textId="77777777" w:rsidR="002D79DF" w:rsidRPr="00134B54" w:rsidRDefault="002D79DF" w:rsidP="002D79DF">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709AB1E6" w14:textId="77777777" w:rsidR="00F74260" w:rsidRPr="00134B54" w:rsidRDefault="00F74260" w:rsidP="00F74260">
      <w:pPr>
        <w:pStyle w:val="a"/>
        <w:ind w:left="924" w:hanging="567"/>
      </w:pPr>
      <w:r w:rsidRPr="00134B54">
        <w:t>115年度司法院預算案於第4目「司法業務規劃研考」項下「辦理研究改進司法制度業務」編列預算1,015萬5千元，較114年度968萬6千元增加46萬9千元。其中，於該分支計畫下編列「法官評鑑委員會會務審議經費」174萬7千元，較114年度108萬7千元增加66萬元，增幅達60.72%，主要係辦理法官評鑑委員會會務審議等相關業務所需。</w:t>
      </w:r>
    </w:p>
    <w:p w14:paraId="30D2DF3A" w14:textId="0A0F1C26" w:rsidR="00F74260" w:rsidRPr="00134B54" w:rsidRDefault="00F74260" w:rsidP="00AB27F1">
      <w:pPr>
        <w:pStyle w:val="a"/>
        <w:numPr>
          <w:ilvl w:val="0"/>
          <w:numId w:val="0"/>
        </w:numPr>
        <w:ind w:left="924" w:firstLineChars="200" w:firstLine="560"/>
      </w:pPr>
      <w:r w:rsidRPr="00134B54">
        <w:t>法官評鑑制度本為強化司法課責、提升司法公信的重要機制，預算增加亦應以制度有效運作為前提。然而，依立法院</w:t>
      </w:r>
      <w:r w:rsidR="00376D94" w:rsidRPr="00134B54">
        <w:rPr>
          <w:rFonts w:hint="eastAsia"/>
        </w:rPr>
        <w:t>預算中心</w:t>
      </w:r>
      <w:r w:rsidRPr="00134B54">
        <w:t>評估報告，法官評鑑新制自109年7月17日施行後，收案量大幅增加，惟人民請求案件合於評鑑要件及請求成立者甚少，顯示人民使用制度與制度實際門檻之間存在明顯落差，司法院應加強宣導，協助民眾正確使用。</w:t>
      </w:r>
    </w:p>
    <w:p w14:paraId="07E70A03" w14:textId="77777777" w:rsidR="00F74260" w:rsidRPr="00134B54" w:rsidRDefault="00F74260" w:rsidP="00AB27F1">
      <w:pPr>
        <w:pStyle w:val="a"/>
        <w:numPr>
          <w:ilvl w:val="0"/>
          <w:numId w:val="0"/>
        </w:numPr>
        <w:ind w:left="924" w:firstLineChars="200" w:firstLine="560"/>
      </w:pPr>
      <w:r w:rsidRPr="00134B54">
        <w:t>若人民大量聲請法官評鑑，最後多數卻因不符要件、不予受理或不付評鑑而無法進入實質審查，代表問題不只是會務審議量增加，而是制度設計、申請門檻、案件篩選、宣導方式與人民認知之間均有檢討必要。司法院不能只因收案量增加，就提高會務審議經費，卻未同步處理人民「看得到制度、用不到</w:t>
      </w:r>
      <w:r w:rsidRPr="00134B54">
        <w:lastRenderedPageBreak/>
        <w:t>制度、用後更失望」的根本問題。</w:t>
      </w:r>
    </w:p>
    <w:p w14:paraId="552075B3" w14:textId="164C0A19" w:rsidR="00F74260" w:rsidRPr="00134B54" w:rsidRDefault="00F74260" w:rsidP="00AB27F1">
      <w:pPr>
        <w:pStyle w:val="a"/>
        <w:numPr>
          <w:ilvl w:val="0"/>
          <w:numId w:val="0"/>
        </w:numPr>
        <w:ind w:left="924" w:firstLineChars="200" w:firstLine="560"/>
      </w:pPr>
      <w:r w:rsidRPr="00134B54">
        <w:t>爰</w:t>
      </w:r>
      <w:r w:rsidR="00CC2752" w:rsidRPr="00134B54">
        <w:rPr>
          <w:rFonts w:hint="eastAsia"/>
        </w:rPr>
        <w:t>請</w:t>
      </w:r>
      <w:r w:rsidRPr="00134B54">
        <w:t>司法院</w:t>
      </w:r>
      <w:r w:rsidR="00CC2752" w:rsidRPr="00134B54">
        <w:rPr>
          <w:rFonts w:hint="eastAsia"/>
        </w:rPr>
        <w:t>加強宣導評鑑制度，適時整理申請評鑑不符程序，致不予受理的態樣，以利民眾理解法官評鑑制度之功能，正確加以適用，以強化評鑑效能</w:t>
      </w:r>
      <w:r w:rsidRPr="00134B54">
        <w:t>。【35】</w:t>
      </w:r>
    </w:p>
    <w:p w14:paraId="5950319D" w14:textId="77777777" w:rsidR="00F74260" w:rsidRPr="00134B54" w:rsidRDefault="00F74260" w:rsidP="00F74260">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提案人：許宇甄</w:t>
      </w:r>
    </w:p>
    <w:p w14:paraId="748C28DA" w14:textId="77777777" w:rsidR="00F74260" w:rsidRPr="00134B54" w:rsidRDefault="00F74260" w:rsidP="00F74260">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1C25B1C7" w14:textId="77777777" w:rsidR="00B324E7" w:rsidRPr="00134B54" w:rsidRDefault="00E744CB" w:rsidP="00520260">
      <w:pPr>
        <w:pStyle w:val="a"/>
        <w:ind w:left="924" w:hanging="567"/>
      </w:pPr>
      <w:r w:rsidRPr="00134B54">
        <w:t>鑑於精神衛生法第62條已明定，嚴重病人於緊急安置期間，未經委任律師為代理人者，應由指定精神醫療機構通報中央主管機關提供必要之法律扶助，顯示國家已逐步建構由律師參與之程序保障機制，並延伸至強制鑑定及向法院聲請強制住院等程序，藉由律師介入，作為病人、醫療機構與法院之間之重要橋梁。</w:t>
      </w:r>
    </w:p>
    <w:p w14:paraId="19FC7759" w14:textId="057B403E" w:rsidR="000E6873" w:rsidRPr="00134B54" w:rsidRDefault="00E744CB" w:rsidP="007E62E4">
      <w:pPr>
        <w:pStyle w:val="a"/>
        <w:numPr>
          <w:ilvl w:val="0"/>
          <w:numId w:val="0"/>
        </w:numPr>
        <w:ind w:left="924" w:firstLineChars="200" w:firstLine="560"/>
      </w:pPr>
      <w:r w:rsidRPr="00134B54">
        <w:t>復查財團法人法律扶助基金會已受衛生福利部心理健康司委託辦理「緊急安置期間嚴重病人法律扶助專案」，並進一步擴大委託事項，納入「緊急安置及強制住院程序聲請之非訟代理業務」，同時規劃辦理扶助律師教育訓練，內容涵蓋精神衛生法新制、精神醫學診斷知識、病人溝通技巧及案例分享等，方向固屬正確。惟相關制度即將全面施行，律師量能是否充足、專業培訓是否到位，以及實際執行是否足以確保當事人權益，仍有待檢視。</w:t>
      </w:r>
    </w:p>
    <w:p w14:paraId="12D6D3E8" w14:textId="21AF910C" w:rsidR="00E744CB" w:rsidRPr="00134B54" w:rsidRDefault="00E744CB" w:rsidP="007E62E4">
      <w:pPr>
        <w:pStyle w:val="ae"/>
        <w:ind w:left="924"/>
      </w:pPr>
      <w:r w:rsidRPr="00134B54">
        <w:t>爰此，建請</w:t>
      </w:r>
      <w:r w:rsidR="00437E4E" w:rsidRPr="00134B54">
        <w:rPr>
          <w:rFonts w:hint="eastAsia"/>
        </w:rPr>
        <w:t>司法院督導財團法人</w:t>
      </w:r>
      <w:r w:rsidRPr="00134B54">
        <w:t>法律扶助基金會盤點目前承辦精神衛生案件之扶助律師人數與專業訓練之成效評估</w:t>
      </w:r>
      <w:r w:rsidR="004F3B59" w:rsidRPr="00134B54">
        <w:rPr>
          <w:rFonts w:hint="eastAsia"/>
        </w:rPr>
        <w:t>，</w:t>
      </w:r>
      <w:r w:rsidRPr="00134B54">
        <w:t>於3個月內提送書面報告予</w:t>
      </w:r>
      <w:bookmarkStart w:id="31" w:name="_Hlk229671018"/>
      <w:r w:rsidR="009A18D4" w:rsidRPr="00134B54">
        <w:rPr>
          <w:rFonts w:hint="eastAsia"/>
        </w:rPr>
        <w:t>立法院</w:t>
      </w:r>
      <w:bookmarkEnd w:id="31"/>
      <w:r w:rsidRPr="00134B54">
        <w:t>司法及法制委員會。【39】</w:t>
      </w:r>
    </w:p>
    <w:p w14:paraId="7218F856" w14:textId="202D41A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提案人：莊瑞雄</w:t>
      </w:r>
    </w:p>
    <w:p w14:paraId="033D8FC0" w14:textId="4DABF9C6"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3C5E270A" w14:textId="7DAE080D" w:rsidR="00C407B3" w:rsidRPr="00134B54" w:rsidRDefault="00E744CB" w:rsidP="0047045D">
      <w:pPr>
        <w:pStyle w:val="a"/>
        <w:ind w:left="924" w:hanging="567"/>
      </w:pPr>
      <w:r w:rsidRPr="00134B54">
        <w:t>鑑於家庭暴力防治法所規範之違反保護令行為，係為防止家庭暴力再犯之重要防線，惟依司法院相關統計，實務上違反保護令</w:t>
      </w:r>
      <w:r w:rsidR="009A18D4" w:rsidRPr="00134B54">
        <w:rPr>
          <w:rFonts w:hint="eastAsia"/>
        </w:rPr>
        <w:t>最</w:t>
      </w:r>
      <w:r w:rsidRPr="00134B54">
        <w:t>多以拘役或得易科罰金處理，拘役比例高達八成，且幾近全數得易科罰金，致刑責偏低，嚇阻效果有限，難以有效防止再犯風險。</w:t>
      </w:r>
    </w:p>
    <w:p w14:paraId="27EF1CC1" w14:textId="77777777" w:rsidR="00C407B3" w:rsidRPr="00134B54" w:rsidRDefault="00E744CB" w:rsidP="0047045D">
      <w:pPr>
        <w:pStyle w:val="a"/>
        <w:numPr>
          <w:ilvl w:val="0"/>
          <w:numId w:val="0"/>
        </w:numPr>
        <w:ind w:left="924" w:firstLineChars="200" w:firstLine="560"/>
      </w:pPr>
      <w:r w:rsidRPr="00134B54">
        <w:t>另現行制度雖設有強制處遇機制，然根據司法院統計法院強制處遇機制低，顯示對高風險加害人之介入與矯治尚有不足，恐影響被害人之人身安全與制度保護效果。</w:t>
      </w:r>
    </w:p>
    <w:p w14:paraId="5999FC44" w14:textId="37F800C8" w:rsidR="00E744CB" w:rsidRPr="00134B54" w:rsidRDefault="00E744CB" w:rsidP="00EE4DEB">
      <w:pPr>
        <w:pStyle w:val="ae"/>
        <w:ind w:left="924"/>
      </w:pPr>
      <w:r w:rsidRPr="00134B54">
        <w:t>爰此，建請司法院檢討違反保護令罪之情狀以及現行強制處遇機制（含加害人處遇計畫、心理輔導或治療）適用比例偏低之原因</w:t>
      </w:r>
      <w:r w:rsidR="009A18D4" w:rsidRPr="00134B54">
        <w:rPr>
          <w:rFonts w:hint="eastAsia"/>
        </w:rPr>
        <w:t>，</w:t>
      </w:r>
      <w:r w:rsidRPr="00134B54">
        <w:t>於3個月內提送書面報告予</w:t>
      </w:r>
      <w:r w:rsidR="009A18D4" w:rsidRPr="00134B54">
        <w:rPr>
          <w:rFonts w:hint="eastAsia"/>
        </w:rPr>
        <w:t>立法院</w:t>
      </w:r>
      <w:r w:rsidRPr="00134B54">
        <w:t>司法及法制委員會。【40】</w:t>
      </w:r>
    </w:p>
    <w:p w14:paraId="5C87221C" w14:textId="68BF8B7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提案人：莊瑞雄</w:t>
      </w:r>
    </w:p>
    <w:p w14:paraId="1755F4E7" w14:textId="5612686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04893140" w14:textId="77777777" w:rsidR="00273938" w:rsidRPr="00134B54" w:rsidRDefault="00E744CB" w:rsidP="00504120">
      <w:pPr>
        <w:pStyle w:val="a"/>
        <w:ind w:left="924" w:hanging="567"/>
      </w:pPr>
      <w:r w:rsidRPr="00134B54">
        <w:t>有鑑於司法院所擬具之「程序監理人選任及酬金支給辦法」修正草案，已於2025年9月30日預告程序，並開放各界於法定期間內表示意見，惟迄今仍未完成發布施行，影響相關制度運作與當事人程序保障。</w:t>
      </w:r>
    </w:p>
    <w:p w14:paraId="295B89A8" w14:textId="77777777" w:rsidR="00273938" w:rsidRPr="00134B54" w:rsidRDefault="00E744CB" w:rsidP="00504120">
      <w:pPr>
        <w:pStyle w:val="a"/>
        <w:numPr>
          <w:ilvl w:val="0"/>
          <w:numId w:val="0"/>
        </w:numPr>
        <w:ind w:left="924" w:firstLineChars="200" w:firstLine="560"/>
      </w:pPr>
      <w:r w:rsidRPr="00134B54">
        <w:t>查該辦法攸關程序監理人之選任機制與酬金支給標準，亦涉及推薦來源、專業資格審查及實務運作方式等重要事項，預告期間各界所提意見與分歧，允應具體盤點並妥為回應，避免制度長期延宕，影響司法程序之正當性與完整性。</w:t>
      </w:r>
    </w:p>
    <w:p w14:paraId="5FFA4649" w14:textId="26122EEF" w:rsidR="00273938" w:rsidRPr="00134B54" w:rsidRDefault="00E744CB" w:rsidP="00FD32E5">
      <w:pPr>
        <w:pStyle w:val="ae"/>
        <w:ind w:left="924"/>
      </w:pPr>
      <w:r w:rsidRPr="00134B54">
        <w:t>爰此，建請司法院於</w:t>
      </w:r>
      <w:r w:rsidR="00C1554C" w:rsidRPr="00134B54">
        <w:rPr>
          <w:rFonts w:hint="eastAsia"/>
        </w:rPr>
        <w:t>3</w:t>
      </w:r>
      <w:r w:rsidRPr="00134B54">
        <w:t>個月內提送書面報告予</w:t>
      </w:r>
      <w:r w:rsidR="00C1554C" w:rsidRPr="00134B54">
        <w:rPr>
          <w:rFonts w:hint="eastAsia"/>
        </w:rPr>
        <w:t>立法院</w:t>
      </w:r>
      <w:r w:rsidRPr="00134B54">
        <w:t>司法及法制委員會，內容應包括：</w:t>
      </w:r>
    </w:p>
    <w:p w14:paraId="5A7EBE54" w14:textId="06C34518" w:rsidR="00273938" w:rsidRPr="00134B54" w:rsidRDefault="00CC304A" w:rsidP="008334E1">
      <w:pPr>
        <w:pStyle w:val="100"/>
      </w:pPr>
      <w:r w:rsidRPr="00134B54">
        <w:t xml:space="preserve">       </w:t>
      </w:r>
      <w:r w:rsidR="00273938" w:rsidRPr="00134B54">
        <w:t>1.</w:t>
      </w:r>
      <w:r w:rsidR="00E744CB" w:rsidRPr="00134B54">
        <w:t>彙整預告期間各界（含實務界、學界及民間團體）所提主要意見與疑慮，並分類說明爭點所在。</w:t>
      </w:r>
    </w:p>
    <w:p w14:paraId="1CAD0821" w14:textId="3E95D29F" w:rsidR="00273938" w:rsidRPr="00134B54" w:rsidRDefault="00CC304A" w:rsidP="00CC304A">
      <w:pPr>
        <w:pStyle w:val="ae"/>
        <w:ind w:leftChars="17" w:left="1301" w:hangingChars="450" w:hanging="1260"/>
      </w:pPr>
      <w:r w:rsidRPr="00134B54">
        <w:rPr>
          <w:rFonts w:hint="eastAsia"/>
        </w:rPr>
        <w:t xml:space="preserve">       </w:t>
      </w:r>
      <w:r w:rsidR="00273938" w:rsidRPr="00134B54">
        <w:rPr>
          <w:rFonts w:hint="eastAsia"/>
        </w:rPr>
        <w:t>2.</w:t>
      </w:r>
      <w:r w:rsidR="00E744CB" w:rsidRPr="00134B54">
        <w:t>就爭議事項提出具體回應與修正方向，並說明是否涉及制度設計或實務運作調整。</w:t>
      </w:r>
    </w:p>
    <w:p w14:paraId="1B3D273E" w14:textId="67771D57" w:rsidR="00E744CB" w:rsidRPr="00134B54" w:rsidRDefault="00CC304A" w:rsidP="00CC304A">
      <w:pPr>
        <w:pStyle w:val="ae"/>
        <w:ind w:leftChars="17" w:left="1301" w:hangingChars="450" w:hanging="1260"/>
      </w:pPr>
      <w:r w:rsidRPr="00134B54">
        <w:rPr>
          <w:rFonts w:hint="eastAsia"/>
        </w:rPr>
        <w:t xml:space="preserve">       </w:t>
      </w:r>
      <w:r w:rsidR="00273938" w:rsidRPr="00134B54">
        <w:rPr>
          <w:rFonts w:hint="eastAsia"/>
        </w:rPr>
        <w:t>3.</w:t>
      </w:r>
      <w:r w:rsidR="00E744CB" w:rsidRPr="00134B54">
        <w:t>明確提出本辦法完成修正、發布施行之預定時程，避免影響相關制度上路。【41】</w:t>
      </w:r>
    </w:p>
    <w:p w14:paraId="384A0988" w14:textId="036F98C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提案人：莊瑞雄</w:t>
      </w:r>
    </w:p>
    <w:p w14:paraId="6B458FDE" w14:textId="1922D31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7AD11728" w14:textId="77777777" w:rsidR="00D43FFB" w:rsidRPr="00134B54" w:rsidRDefault="00E744CB" w:rsidP="000826C4">
      <w:pPr>
        <w:pStyle w:val="a"/>
        <w:ind w:left="924" w:hanging="567"/>
      </w:pPr>
      <w:r w:rsidRPr="00134B54">
        <w:t>司法案量逐年遞增，且司法人員過勞情況時有所聞。針對人力有效分配，司法院早於1999年早在法院組織法新增法官，但法官助理培養升遷與職責範圍並未明確，以致人力並無有效利用。</w:t>
      </w:r>
    </w:p>
    <w:p w14:paraId="363FE62F" w14:textId="590A287A" w:rsidR="00D43FFB" w:rsidRPr="00134B54" w:rsidRDefault="00E744CB" w:rsidP="000826C4">
      <w:pPr>
        <w:pStyle w:val="ae"/>
        <w:ind w:left="924"/>
      </w:pPr>
      <w:r w:rsidRPr="00134B54">
        <w:t>參酌司法院於2024年8月出版委託計畫《透視司法工作</w:t>
      </w:r>
      <w:r w:rsidR="00DC7CB0" w:rsidRPr="00134B54">
        <w:rPr>
          <w:rFonts w:hint="eastAsia"/>
        </w:rPr>
        <w:t>：</w:t>
      </w:r>
      <w:r w:rsidRPr="00134B54">
        <w:t>一線視角下的負擔課題與管理優化對策計畫書》指出，法官助理一年一聘的約聘僱情況下，又缺乏完整升遷、留任與職涯發展系統，使得法官助理工作不受重視。另針對法官助理可否協助草擬判決初稿之疑慮，部分法官仍有疑慮，以致工作職權模糊。</w:t>
      </w:r>
    </w:p>
    <w:p w14:paraId="680A10BE" w14:textId="2567C09B" w:rsidR="00E744CB" w:rsidRPr="00134B54" w:rsidRDefault="00E744CB" w:rsidP="000826C4">
      <w:pPr>
        <w:pStyle w:val="ae"/>
        <w:ind w:left="924"/>
      </w:pPr>
      <w:r w:rsidRPr="00134B54">
        <w:t>爰此，建請司法院，針對法官助理功能改善方案，於3個月內提送書面報告予</w:t>
      </w:r>
      <w:r w:rsidR="004D53DE" w:rsidRPr="00134B54">
        <w:rPr>
          <w:rFonts w:hint="eastAsia"/>
        </w:rPr>
        <w:t>立法院</w:t>
      </w:r>
      <w:r w:rsidRPr="00134B54">
        <w:t>司法及法制委員會。【42】</w:t>
      </w:r>
    </w:p>
    <w:p w14:paraId="4AB5E017" w14:textId="219DDEB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提案人：莊瑞雄</w:t>
      </w:r>
    </w:p>
    <w:p w14:paraId="40759495" w14:textId="046DBD9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449FE827" w14:textId="77777777" w:rsidR="00D43FFB" w:rsidRPr="00134B54" w:rsidRDefault="00E744CB" w:rsidP="0086671F">
      <w:pPr>
        <w:pStyle w:val="a"/>
        <w:ind w:left="924" w:hanging="567"/>
      </w:pPr>
      <w:r w:rsidRPr="00134B54">
        <w:t>司法通譯牽涉當事人權益及司法體系做出正確裁判之能力甚深，通譯本身除必須理解當事人的母語，將其翻譯成一般人懂的中文外，亦應如實、完整通譯當事人所表達之內容，且須避</w:t>
      </w:r>
      <w:r w:rsidRPr="00134B54">
        <w:lastRenderedPageBreak/>
        <w:t>免因自我意識增減、解釋法官或檢察官之提問。</w:t>
      </w:r>
    </w:p>
    <w:p w14:paraId="40694144" w14:textId="58D85303" w:rsidR="00D43FFB" w:rsidRPr="00134B54" w:rsidRDefault="00E744CB" w:rsidP="0086671F">
      <w:pPr>
        <w:pStyle w:val="ae"/>
        <w:ind w:left="924"/>
      </w:pPr>
      <w:r w:rsidRPr="00134B54">
        <w:t>司法院115年度施政計畫之一，即為「健全通譯制度，提升法庭傳譯品質，保障聽覺或語言障礙者、語言不通人士之訴訟權益」。</w:t>
      </w:r>
    </w:p>
    <w:p w14:paraId="2707555D" w14:textId="2CF3EF21" w:rsidR="00D43FFB" w:rsidRPr="00134B54" w:rsidRDefault="00E744CB" w:rsidP="0086671F">
      <w:pPr>
        <w:pStyle w:val="ae"/>
        <w:ind w:left="924"/>
      </w:pPr>
      <w:r w:rsidRPr="00134B54">
        <w:t>司法院為提供通譯服務，依據《法院特約通譯約聘辦法》設有特約通譯制度。查該辦法第</w:t>
      </w:r>
      <w:r w:rsidR="009A329C" w:rsidRPr="00134B54">
        <w:rPr>
          <w:rFonts w:hint="eastAsia"/>
        </w:rPr>
        <w:t>6</w:t>
      </w:r>
      <w:r w:rsidRPr="00134B54">
        <w:t>條至第</w:t>
      </w:r>
      <w:r w:rsidR="009A329C" w:rsidRPr="00134B54">
        <w:rPr>
          <w:rFonts w:hint="eastAsia"/>
        </w:rPr>
        <w:t>8</w:t>
      </w:r>
      <w:r w:rsidRPr="00134B54">
        <w:t>條所定之教育訓練，多以「聽講」為主要實施方式。然司法通譯涉及大量法律專業術語及法庭程序知識，此類實務技能難僅憑聽講獲取，必須透過實際參與、觀摩法庭運作，始能有效熟稔法庭動態與專業語境。</w:t>
      </w:r>
    </w:p>
    <w:p w14:paraId="010F0846" w14:textId="6048019D" w:rsidR="00E744CB" w:rsidRPr="00134B54" w:rsidRDefault="00E744CB" w:rsidP="0086671F">
      <w:pPr>
        <w:pStyle w:val="ae"/>
        <w:ind w:left="924"/>
      </w:pPr>
      <w:r w:rsidRPr="00134B54">
        <w:t>為提升通譯服務品質、因應司法實務需求，建請司法院研議增加聽講以外之教育訓練方式，提供包含但不限於案件模擬、現場或影像紀錄臨摹實習和與實務工作者之交流座談、互動式教案等方式；內容應包含協助特約通譯熟悉跨文化交流、情緒控制、法律知識等，增進更多應用練習及實務觀摩機會，協助特約通譯發展司法通譯能力，並將具體規劃及推動時程於</w:t>
      </w:r>
      <w:r w:rsidR="0090556E" w:rsidRPr="00134B54">
        <w:rPr>
          <w:rFonts w:hint="eastAsia"/>
        </w:rPr>
        <w:t>3</w:t>
      </w:r>
      <w:r w:rsidRPr="00134B54">
        <w:t>個月內向立法院司法及法制委員會提出書面報告。【43】</w:t>
      </w:r>
    </w:p>
    <w:p w14:paraId="5B5682BE" w14:textId="7030D040"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提案人：莊瑞雄</w:t>
      </w:r>
    </w:p>
    <w:p w14:paraId="1BB20D4E" w14:textId="7B1E7B31"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2BC90B47" w14:textId="4AD5154D" w:rsidR="008334E1" w:rsidRPr="00134B54" w:rsidRDefault="00E744CB" w:rsidP="00DB10A4">
      <w:pPr>
        <w:pStyle w:val="a"/>
        <w:ind w:left="1037" w:hanging="680"/>
      </w:pPr>
      <w:r w:rsidRPr="00134B54">
        <w:t>根據司法院及所屬各機關各項案件收結概況顯示，自111年</w:t>
      </w:r>
      <w:r w:rsidR="00B27605" w:rsidRPr="00134B54">
        <w:rPr>
          <w:rFonts w:hint="eastAsia"/>
        </w:rPr>
        <w:t>度</w:t>
      </w:r>
      <w:r w:rsidRPr="00134B54">
        <w:t>之386</w:t>
      </w:r>
      <w:r w:rsidR="00B27605" w:rsidRPr="00134B54">
        <w:rPr>
          <w:rFonts w:hint="eastAsia"/>
        </w:rPr>
        <w:t>萬</w:t>
      </w:r>
      <w:r w:rsidRPr="00134B54">
        <w:t>5,320件逐增至114年</w:t>
      </w:r>
      <w:r w:rsidR="00F5634D" w:rsidRPr="00134B54">
        <w:rPr>
          <w:rFonts w:hint="eastAsia"/>
        </w:rPr>
        <w:t>度</w:t>
      </w:r>
      <w:r w:rsidRPr="00134B54">
        <w:t>之475</w:t>
      </w:r>
      <w:r w:rsidR="00F5634D" w:rsidRPr="00134B54">
        <w:rPr>
          <w:rFonts w:hint="eastAsia"/>
        </w:rPr>
        <w:t>萬</w:t>
      </w:r>
      <w:r w:rsidRPr="00134B54">
        <w:t>8,237件，案件量之劇增導致司法負荷日漸繁重，致法官、檢察官、書記官等司法人員長期處於高壓工作環境，影響審判品質與司法效率。</w:t>
      </w:r>
    </w:p>
    <w:p w14:paraId="6F5165C2" w14:textId="77777777" w:rsidR="008334E1" w:rsidRPr="00134B54" w:rsidRDefault="00E744CB" w:rsidP="008334E1">
      <w:pPr>
        <w:pStyle w:val="ae"/>
      </w:pPr>
      <w:r w:rsidRPr="00134B54">
        <w:t>再者，現行法官與紀錄書記官之「實際加班時數」與「申請加班時數」存在顯著落差，造成「超時加班常態化」之現象。此外，目前的補休制度亦難以讓人員達成真正的「離線休息」，未能對超時服勤給予適當之評價與補償。</w:t>
      </w:r>
    </w:p>
    <w:p w14:paraId="0F41B6A8" w14:textId="7E651775" w:rsidR="008334E1" w:rsidRPr="00134B54" w:rsidRDefault="00E744CB" w:rsidP="008334E1">
      <w:pPr>
        <w:pStyle w:val="ae"/>
      </w:pPr>
      <w:r w:rsidRPr="00134B54">
        <w:t>為因應實務負荷，司法院雖於</w:t>
      </w:r>
      <w:r w:rsidR="00BB1AC6" w:rsidRPr="00134B54">
        <w:rPr>
          <w:rFonts w:hint="eastAsia"/>
        </w:rPr>
        <w:t>115</w:t>
      </w:r>
      <w:r w:rsidRPr="00134B54">
        <w:t>年4月擬具《刑事訴訟法》部分條文修正草案，其中包含：對於被告認罪且對起訴事實無爭執案件，可簡化審理程序與證據調查，讓案件更快終結；放寬有罪判決書的記載方式，擴大簡化適用範圍，增訂得以「宣示判決筆錄」替代判決書的機制，以減輕法院文書負擔；增加審判筆錄製作彈性，除現行由書記官當場製作外，可採委外記錄或科技輔助方式，必要時並得由其他適當人員協助處理等。</w:t>
      </w:r>
    </w:p>
    <w:p w14:paraId="60632406" w14:textId="77777777" w:rsidR="008334E1" w:rsidRPr="00134B54" w:rsidRDefault="00E744CB" w:rsidP="008334E1">
      <w:pPr>
        <w:pStyle w:val="ae"/>
      </w:pPr>
      <w:r w:rsidRPr="00134B54">
        <w:t>惟現行人力編制與暴增的案件量已出現嚴重失衡，若未能從根本調整基層人力之員額，任何工作方法的改善及更新，最</w:t>
      </w:r>
      <w:r w:rsidRPr="00134B54">
        <w:lastRenderedPageBreak/>
        <w:t>終仍會被基層同仁的勞動極限所抵銷。</w:t>
      </w:r>
    </w:p>
    <w:p w14:paraId="389DCB75" w14:textId="28E6F0DF" w:rsidR="008334E1" w:rsidRPr="00134B54" w:rsidRDefault="00E744CB" w:rsidP="008334E1">
      <w:pPr>
        <w:pStyle w:val="ae"/>
      </w:pPr>
      <w:r w:rsidRPr="00134B54">
        <w:t>依據《經濟社會文化權利國際公約》第7條，人人有權享有公平良好之工作條件及合理之工作時間限制。爰針對司法案件量劇增導致之基層人力負荷過重問題，建請司法院應於</w:t>
      </w:r>
      <w:r w:rsidR="0052541F" w:rsidRPr="00134B54">
        <w:rPr>
          <w:rFonts w:hint="eastAsia"/>
        </w:rPr>
        <w:t>115</w:t>
      </w:r>
      <w:r w:rsidRPr="00134B54">
        <w:t>年度預算案通過後3個月內，就「員額編制檢討」、「加班費預算調整」及「司法人員過勞改善計畫」向立法院司法及法制委員會提出書面報告：</w:t>
      </w:r>
    </w:p>
    <w:p w14:paraId="5FE31998" w14:textId="1259FF62" w:rsidR="008334E1" w:rsidRPr="00134B54" w:rsidRDefault="008334E1" w:rsidP="008334E1">
      <w:pPr>
        <w:pStyle w:val="100"/>
        <w:ind w:leftChars="472" w:left="1413" w:hangingChars="100" w:hanging="280"/>
      </w:pPr>
      <w:r w:rsidRPr="00134B54">
        <w:rPr>
          <w:rFonts w:hint="eastAsia"/>
        </w:rPr>
        <w:t>1</w:t>
      </w:r>
      <w:r w:rsidRPr="00134B54">
        <w:t>.</w:t>
      </w:r>
      <w:r w:rsidR="00E744CB" w:rsidRPr="00134B54">
        <w:t>依據各級法院案件成長幅度及業務實際運作情形，審慎評估法官、書記官及相關司法人員之員額編制。</w:t>
      </w:r>
    </w:p>
    <w:p w14:paraId="5B68FD43" w14:textId="354C6641" w:rsidR="00E744CB" w:rsidRPr="00134B54" w:rsidRDefault="008334E1" w:rsidP="008334E1">
      <w:pPr>
        <w:pStyle w:val="100"/>
        <w:ind w:leftChars="472" w:left="1413" w:hangingChars="100" w:hanging="280"/>
      </w:pPr>
      <w:r w:rsidRPr="00134B54">
        <w:rPr>
          <w:rFonts w:hint="eastAsia"/>
        </w:rPr>
        <w:t>2</w:t>
      </w:r>
      <w:r w:rsidRPr="00134B54">
        <w:t>.</w:t>
      </w:r>
      <w:r w:rsidR="00E744CB" w:rsidRPr="00134B54">
        <w:t>針對超時服勤現況，應檢討現行加班費上限與補休制度，研議如何給予司法人員實質之</w:t>
      </w:r>
      <w:r w:rsidR="001E4054" w:rsidRPr="00134B54">
        <w:rPr>
          <w:rFonts w:hint="eastAsia"/>
        </w:rPr>
        <w:t>誘因</w:t>
      </w:r>
      <w:r w:rsidR="00E744CB" w:rsidRPr="00134B54">
        <w:t>（如提高加班費額度），避免基層人員長期過勞。【44】</w:t>
      </w:r>
    </w:p>
    <w:p w14:paraId="3F576024" w14:textId="1944DE4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提案人：莊瑞雄</w:t>
      </w:r>
    </w:p>
    <w:p w14:paraId="02110CF6" w14:textId="0331309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連署人：沈發惠　張雅琳</w:t>
      </w:r>
    </w:p>
    <w:p w14:paraId="2FEB8838" w14:textId="47C7F28A" w:rsidR="0029401D" w:rsidRPr="00134B54" w:rsidRDefault="00E744CB" w:rsidP="004E5F6B">
      <w:pPr>
        <w:pStyle w:val="a"/>
        <w:ind w:left="924" w:hanging="567"/>
      </w:pPr>
      <w:r w:rsidRPr="00134B54">
        <w:t>鑑於量刑前社會調查及鑑定制度，對於《</w:t>
      </w:r>
      <w:r w:rsidR="00AE33C9" w:rsidRPr="00134B54">
        <w:rPr>
          <w:rFonts w:hint="eastAsia"/>
        </w:rPr>
        <w:t>中華民國</w:t>
      </w:r>
      <w:r w:rsidRPr="00134B54">
        <w:t>刑法》第57條所定犯罪行為人之生活狀況、智識程度、品行及犯罪後態度等量刑事項，具有重要參考功能，亦有助於法院綜合評估被告之行為動機、再犯風險及社會復歸可能性。另隨近年被害人權益保障制度逐步強化，「犯罪被害人影響陳述」已成為刑事程序中反映被害人損害、心理影響及程序參與權之重要機制，其在量刑審酌上之實際運作情形，亦受社會關注。</w:t>
      </w:r>
    </w:p>
    <w:p w14:paraId="132FF7F1" w14:textId="39272666" w:rsidR="0029401D" w:rsidRPr="00134B54" w:rsidRDefault="00E744CB" w:rsidP="004E5F6B">
      <w:pPr>
        <w:pStyle w:val="ae"/>
        <w:ind w:left="924"/>
      </w:pPr>
      <w:r w:rsidRPr="00134B54">
        <w:t>惟目前各法院就犯罪被害人影響陳述之適用情形、採納比例、案件類型及量刑參採方式，尚缺完整統計與公開資訊；實務上法官於量刑理由中，對於被害人影響陳述之參採程度、具體考量因素及不予採納理由之記載方式，是否已建立一致且明確之操作原則，亦有進一步檢討空間。爰要求司法院就近三年各級法院辦理犯罪被害人</w:t>
      </w:r>
      <w:r w:rsidR="007F7ED9" w:rsidRPr="00134B54">
        <w:rPr>
          <w:rFonts w:hint="eastAsia"/>
        </w:rPr>
        <w:t>訴訟參與</w:t>
      </w:r>
      <w:r w:rsidRPr="00134B54">
        <w:t>之案件數量、案件類型及量刑理由記載方式進行整體盤點，並檢視現行制度於被害人</w:t>
      </w:r>
      <w:r w:rsidR="007F7ED9" w:rsidRPr="00134B54">
        <w:rPr>
          <w:rFonts w:hint="eastAsia"/>
        </w:rPr>
        <w:t>影響陳述</w:t>
      </w:r>
      <w:r w:rsidRPr="00134B54">
        <w:t>、陳述保護及救濟機制之運作情形，研議相關精進措施及參考指引，以強化量刑程序透明性與被害人程序保障。</w:t>
      </w:r>
    </w:p>
    <w:p w14:paraId="11222C2F" w14:textId="79D59E89" w:rsidR="00E744CB" w:rsidRPr="00134B54" w:rsidRDefault="00E744CB" w:rsidP="004E5F6B">
      <w:pPr>
        <w:pStyle w:val="ae"/>
        <w:ind w:left="924"/>
      </w:pPr>
      <w:r w:rsidRPr="00134B54">
        <w:t>爰建請司法院於3個月內向立法院司法及法制委員會提出書面報告。【45】</w:t>
      </w:r>
    </w:p>
    <w:p w14:paraId="0A35A13D" w14:textId="4F4DA918"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提案人：沈發惠</w:t>
      </w:r>
    </w:p>
    <w:p w14:paraId="715CE6D7" w14:textId="61ABC0F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7D833DD5" w14:textId="77777777" w:rsidR="0029401D" w:rsidRPr="00134B54" w:rsidRDefault="00E744CB" w:rsidP="00224AF5">
      <w:pPr>
        <w:pStyle w:val="a"/>
        <w:ind w:left="924" w:hanging="567"/>
      </w:pPr>
      <w:r w:rsidRPr="00134B54">
        <w:t>鑑於近年少年事件處理制度逐步朝向保護、輔導及社會復歸方向發展，少年保護管束執行期間之風險評估與分級處遇，已成為少年司法制度中重要之一環。依司法院推動之少年保護</w:t>
      </w:r>
      <w:r w:rsidRPr="00134B54">
        <w:lastRenderedPageBreak/>
        <w:t>管束風險管理試辦計畫，其內容包含風險評估指標、處遇分流及追蹤輔導等機制，目的在於協助第一線少年調查官及相關人員，更有效掌握少年再犯風險及處遇需求。</w:t>
      </w:r>
    </w:p>
    <w:p w14:paraId="1864AA23" w14:textId="77777777" w:rsidR="0029401D" w:rsidRPr="00134B54" w:rsidRDefault="00E744CB" w:rsidP="00224AF5">
      <w:pPr>
        <w:pStyle w:val="ae"/>
        <w:ind w:left="924"/>
      </w:pPr>
      <w:r w:rsidRPr="00134B54">
        <w:t>惟少年事件具有高度個案差異性，其家庭環境、成長歷程、同儕關係及心理狀態均可能影響風險評估結果，外界亦關注現行風險評估指標及操作模式，是否已建立一致、客觀且具實證基礎之評估標準，以及不同法院間之適用方式是否一致；另風險評估結果與後續處遇、保護管束措施及資源配置之連結機制，是否已具備明確操作原則，亦有進一步檢討空間。</w:t>
      </w:r>
    </w:p>
    <w:p w14:paraId="6B46D3FE" w14:textId="77777777" w:rsidR="0029401D" w:rsidRPr="00134B54" w:rsidRDefault="00E744CB" w:rsidP="00224AF5">
      <w:pPr>
        <w:pStyle w:val="ae"/>
        <w:ind w:left="924"/>
      </w:pPr>
      <w:r w:rsidRPr="00134B54">
        <w:t>爰請司法院就少年保護管束風險管理試辦計畫之執行情形、評估指標設計依據、各法院適用現況及後續處遇連結機制進行整體盤點，並研議建立相關操作指引、教育訓練及成效追蹤機制，以兼顧少年最佳利益、個案處遇妥適性及制度運作一致性。</w:t>
      </w:r>
    </w:p>
    <w:p w14:paraId="1517D280" w14:textId="598C7C69" w:rsidR="00E744CB" w:rsidRPr="00134B54" w:rsidRDefault="00E744CB" w:rsidP="00224AF5">
      <w:pPr>
        <w:pStyle w:val="ae"/>
        <w:ind w:left="924"/>
      </w:pPr>
      <w:r w:rsidRPr="00134B54">
        <w:t>爰建請司法院於</w:t>
      </w:r>
      <w:r w:rsidR="00425AF1" w:rsidRPr="00134B54">
        <w:rPr>
          <w:rFonts w:hint="eastAsia"/>
        </w:rPr>
        <w:t>6</w:t>
      </w:r>
      <w:r w:rsidRPr="00134B54">
        <w:t>個月內向立法院司法及法制委員會提出書面報告。【46】</w:t>
      </w:r>
    </w:p>
    <w:p w14:paraId="1CA10FD3" w14:textId="7C87C89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提案人：沈發惠</w:t>
      </w:r>
      <w:r w:rsidR="00566373" w:rsidRPr="00134B54">
        <w:rPr>
          <w:rFonts w:ascii="標楷體" w:eastAsia="標楷體" w:hAnsi="標楷體"/>
          <w:color w:val="000000"/>
          <w:sz w:val="28"/>
          <w:szCs w:val="28"/>
        </w:rPr>
        <w:t xml:space="preserve">　張雅琳</w:t>
      </w:r>
    </w:p>
    <w:p w14:paraId="62FA7BCE" w14:textId="140AC72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連署人：范　雲</w:t>
      </w:r>
    </w:p>
    <w:p w14:paraId="40701120" w14:textId="77777777" w:rsidR="00E13A55" w:rsidRPr="00134B54" w:rsidRDefault="00E744CB" w:rsidP="0082189B">
      <w:pPr>
        <w:pStyle w:val="a"/>
        <w:ind w:left="924" w:hanging="567"/>
      </w:pPr>
      <w:r w:rsidRPr="00134B54">
        <w:t>鑑於依《少年事件處理法》規定，少年調查保護官肩負少年保護事件調查、輔導、訪視及保護管束執行等重要職責，並須依少年個案情形進行風險評估、資源連結及後續處遇規劃，其業務內容已逐步朝向高度專業化與個案化發展。近年隨少年保護事件類型日趨複雜，第一線少年調查保護官除需辦理保護管束案件外，亦須兼顧家庭訪視、校園聯繫、資源協調及跨機關合作等工作，整體工作負荷及壓力持續增加。</w:t>
      </w:r>
    </w:p>
    <w:p w14:paraId="139E24C0" w14:textId="77777777" w:rsidR="00E13A55" w:rsidRPr="00134B54" w:rsidRDefault="00E744CB" w:rsidP="0082189B">
      <w:pPr>
        <w:pStyle w:val="ae"/>
        <w:ind w:left="924"/>
      </w:pPr>
      <w:r w:rsidRPr="00134B54">
        <w:t>惟依近年統計資料顯示，各地方法院少年調查保護官之案件量與執行負荷仍存在差異，部分法院未結案件數及平均執行案件量偏高，外界亦關注現行人力配置、案件分流及行政支援機制，是否足以因應少年事件處理制度日益複雜之需求；另在推動少年保護管束風險管理及個案分級處遇政策下，相關新增業務與人力配置是否相互對應，亦有進一步檢討必要。</w:t>
      </w:r>
    </w:p>
    <w:p w14:paraId="2439C2FD" w14:textId="77777777" w:rsidR="00E13A55" w:rsidRPr="00134B54" w:rsidRDefault="00E744CB" w:rsidP="0082189B">
      <w:pPr>
        <w:pStyle w:val="ae"/>
        <w:ind w:left="924"/>
      </w:pPr>
      <w:r w:rsidRPr="00134B54">
        <w:t>爰請司法院就各地方法院少年調查保護官之人力配置、案件負荷、未結案件情形及風險管理制度推動後之實際執行情況進行整體盤點，並研議案件分流、行政支援及專業人力補充等精進措施，以兼顧少年最佳利益、個案處遇品質及第一線執行量能。</w:t>
      </w:r>
    </w:p>
    <w:p w14:paraId="6C7C0508" w14:textId="5CCE369A" w:rsidR="00E744CB" w:rsidRPr="00134B54" w:rsidRDefault="00E744CB" w:rsidP="0082189B">
      <w:pPr>
        <w:pStyle w:val="ae"/>
        <w:ind w:left="924"/>
      </w:pPr>
      <w:r w:rsidRPr="00134B54">
        <w:t>爰建請司法院於</w:t>
      </w:r>
      <w:r w:rsidR="00944F3E" w:rsidRPr="00134B54">
        <w:rPr>
          <w:rFonts w:hint="eastAsia"/>
        </w:rPr>
        <w:t>6</w:t>
      </w:r>
      <w:r w:rsidRPr="00134B54">
        <w:t>個月內向立法院司法及法制委員會提出</w:t>
      </w:r>
      <w:r w:rsidRPr="00134B54">
        <w:lastRenderedPageBreak/>
        <w:t>書面報告。【47】</w:t>
      </w:r>
    </w:p>
    <w:p w14:paraId="471E3BC3" w14:textId="15F08C1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提案人：沈發惠</w:t>
      </w:r>
      <w:r w:rsidR="00C321AD" w:rsidRPr="00134B54">
        <w:rPr>
          <w:rFonts w:ascii="標楷體" w:eastAsia="標楷體" w:hAnsi="標楷體"/>
          <w:color w:val="000000"/>
          <w:sz w:val="28"/>
          <w:szCs w:val="28"/>
        </w:rPr>
        <w:t xml:space="preserve">　張雅琳</w:t>
      </w:r>
    </w:p>
    <w:p w14:paraId="4D7B42FE" w14:textId="606B783C"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連署人：范　雲</w:t>
      </w:r>
    </w:p>
    <w:p w14:paraId="5365C261" w14:textId="3D4D556B" w:rsidR="00E13A55" w:rsidRPr="00134B54" w:rsidRDefault="00E744CB" w:rsidP="000054AC">
      <w:pPr>
        <w:pStyle w:val="1"/>
      </w:pPr>
      <w:r w:rsidRPr="00134B54">
        <w:t>鑑於近年科技犯罪態樣日益複雜，偵查實務上常需透過科技方法進行犯罪調查、證據保全及犯罪追訴。為回應科技偵查發展需求，《刑事訴訟法》有關特殊強制處分制度業於113年7月31日公布施行，並由司法院依同法第</w:t>
      </w:r>
      <w:r w:rsidR="00507305" w:rsidRPr="00134B54">
        <w:rPr>
          <w:rFonts w:hint="eastAsia"/>
        </w:rPr>
        <w:t>153</w:t>
      </w:r>
      <w:r w:rsidRPr="00134B54">
        <w:t>條之</w:t>
      </w:r>
      <w:r w:rsidR="00507305" w:rsidRPr="00134B54">
        <w:rPr>
          <w:rFonts w:hint="eastAsia"/>
        </w:rPr>
        <w:t>10</w:t>
      </w:r>
      <w:r w:rsidRPr="00134B54">
        <w:t>第</w:t>
      </w:r>
      <w:r w:rsidR="00507305" w:rsidRPr="00134B54">
        <w:rPr>
          <w:rFonts w:hint="eastAsia"/>
        </w:rPr>
        <w:t>5</w:t>
      </w:r>
      <w:r w:rsidRPr="00134B54">
        <w:t>項授權，於114年1月14日訂定發布「刑事訴訟特殊強制處分執行辦法」，作為科技偵查措施執行、司法審查及實務運作之依據。惟科技偵查措施涉及人民隱私權、資訊自主權及秘密通訊自由等基本權干預，其性質屬具強制性之偵查處分，除應符合憲法比例原則及法律保留原則外，相關程序保障及救濟機制是否周延，亦有持續檢討必要。</w:t>
      </w:r>
    </w:p>
    <w:p w14:paraId="5C86A8F0" w14:textId="7D93681B" w:rsidR="00E13A55" w:rsidRPr="00134B54" w:rsidRDefault="00E744CB" w:rsidP="000054AC">
      <w:pPr>
        <w:pStyle w:val="10"/>
      </w:pPr>
      <w:r w:rsidRPr="00134B54">
        <w:t>查現行《刑事訴訟法》第</w:t>
      </w:r>
      <w:r w:rsidR="00507305" w:rsidRPr="00134B54">
        <w:rPr>
          <w:rFonts w:hint="eastAsia"/>
        </w:rPr>
        <w:t>153</w:t>
      </w:r>
      <w:r w:rsidRPr="00134B54">
        <w:t>條之</w:t>
      </w:r>
      <w:r w:rsidR="00507305" w:rsidRPr="00134B54">
        <w:rPr>
          <w:rFonts w:hint="eastAsia"/>
        </w:rPr>
        <w:t>10</w:t>
      </w:r>
      <w:r w:rsidRPr="00134B54">
        <w:t>規定，受調查人、被告或犯罪嫌疑人之辯護人，得就法官、檢察官所為裁定或處分提起抗告或聲請撤銷、變更，然對於司法警察官執行特殊強制處分所為之處置，現行法並未明文納入相應救濟程序。惟司法警察官執行相關措施時，同樣可能涉及人民基本權之干預，其性質與法官、檢察官所為處分並無本質差異，是否已充分符合「有權利即有救濟」之憲法要求，容有進一步檢討空間。另依司法院114年3月19日相關報告資料，自113年8月至114年1月止，各地方法院辦理檢察機關聲請特殊強制處分案件終結件數共439件，其中准許311件、駁回118件、部分准許部分駁回10件，整體駁回比例接近三成，顯示新制施行初期，實務運作與聲請要件認定間，可能仍存在適用標準、證據基礎或程序設計等問題，有待進一步統計分析與制度檢討。</w:t>
      </w:r>
    </w:p>
    <w:p w14:paraId="2526EC7A" w14:textId="77777777" w:rsidR="00E13A55" w:rsidRPr="00134B54" w:rsidRDefault="00E744CB" w:rsidP="00807A16">
      <w:pPr>
        <w:pStyle w:val="ae"/>
        <w:ind w:left="924"/>
      </w:pPr>
      <w:r w:rsidRPr="00134B54">
        <w:t>爰請司法院就特殊強制處分制度施行後之實務運作情形、法院駁回案件之主要原因類型、司法警察官執行處分之救濟制度是否周延，以及現行制度與人民基本權保障間之衡平情形，進行整體檢討與研析。</w:t>
      </w:r>
    </w:p>
    <w:p w14:paraId="27C5B4C0" w14:textId="350BEA43" w:rsidR="00E744CB" w:rsidRPr="00134B54" w:rsidRDefault="00E744CB" w:rsidP="00807A16">
      <w:pPr>
        <w:pStyle w:val="ae"/>
        <w:ind w:left="924"/>
      </w:pPr>
      <w:r w:rsidRPr="00134B54">
        <w:t>爰建請司法院於3個月內向立法院司法及法制委員會提出書面報告。【48】</w:t>
      </w:r>
    </w:p>
    <w:p w14:paraId="60736187" w14:textId="5F3050F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提案人：沈發惠</w:t>
      </w:r>
      <w:r w:rsidR="001132E8" w:rsidRPr="00134B54">
        <w:rPr>
          <w:rFonts w:ascii="標楷體" w:eastAsia="標楷體" w:hAnsi="標楷體"/>
          <w:color w:val="000000"/>
          <w:sz w:val="28"/>
          <w:szCs w:val="28"/>
        </w:rPr>
        <w:t xml:space="preserve">　張雅琳</w:t>
      </w:r>
    </w:p>
    <w:p w14:paraId="6DAB1006" w14:textId="7AF9CB02"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連署人：范　雲</w:t>
      </w:r>
    </w:p>
    <w:p w14:paraId="0859EFDE" w14:textId="77777777" w:rsidR="00B77538" w:rsidRPr="00134B54" w:rsidRDefault="00E744CB" w:rsidP="000054AC">
      <w:pPr>
        <w:pStyle w:val="1"/>
      </w:pPr>
      <w:r w:rsidRPr="00134B54">
        <w:t>鑑於近年家庭暴力保護令制度之運作情形，依相關統計顯示，緊急保護令核發率長期維持在九成以上，反映法院對急迫危險案件能即時提供初步保護；惟暫時保護令及通常保護令之</w:t>
      </w:r>
      <w:r w:rsidRPr="00134B54">
        <w:lastRenderedPageBreak/>
        <w:t>核發率則長期約落在七成五左右，仍有相當比例案件遭駁回或由被害人自行撤回。不同類型保護令之核發結果存在明顯落差，外界亦關注各地方法院間是否存在審理標準、證據認定及程序運作差異，影響被害人聲請保護令之可近性與一致性。</w:t>
      </w:r>
    </w:p>
    <w:p w14:paraId="10BE9228" w14:textId="77777777" w:rsidR="00B77538" w:rsidRPr="00134B54" w:rsidRDefault="00E744CB" w:rsidP="000054AC">
      <w:pPr>
        <w:pStyle w:val="10"/>
      </w:pPr>
      <w:r w:rsidRPr="00134B54">
        <w:t>另家庭暴力案件具高度即時性與脆弱性，被害人往往需仰賴法院、家庭暴力防治中心及社工系統協助完成聲請及證據整理，如程序輔導、證據蒐集及跨機關協作不足，恐增加聲請撤回或駁回之風險，影響制度實際保護效果。爰要求司法院就各地方法院保護令核發情形、審理標準及撤回、駁回事由進行整體盤點與分析，研議建立相關審理參考機制及跨機關協作精進措施，並評估各地方法院核發率統計及差異分析之揭露與運用方式，作為後續法官專業訓練、制度檢討及被害人保護機制強化之參考。</w:t>
      </w:r>
    </w:p>
    <w:p w14:paraId="096D999B" w14:textId="7D53BE75" w:rsidR="00E744CB" w:rsidRPr="00134B54" w:rsidRDefault="00E744CB" w:rsidP="00807A16">
      <w:pPr>
        <w:pStyle w:val="ae"/>
        <w:ind w:left="924"/>
      </w:pPr>
      <w:r w:rsidRPr="00134B54">
        <w:t>爰建請司法院於3個月內向立法院司法及法制委員會提出書面報告。【49】</w:t>
      </w:r>
    </w:p>
    <w:p w14:paraId="13CCAFB5" w14:textId="2BE9146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提案人：沈發惠</w:t>
      </w:r>
    </w:p>
    <w:p w14:paraId="27C0FFAD" w14:textId="288CCEB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連署人：張雅琳　范　雲</w:t>
      </w:r>
    </w:p>
    <w:p w14:paraId="56D23BD3" w14:textId="77777777" w:rsidR="008E54A3" w:rsidRPr="00134B54" w:rsidRDefault="00E744CB" w:rsidP="000054AC">
      <w:pPr>
        <w:pStyle w:val="1"/>
      </w:pPr>
      <w:r w:rsidRPr="00134B54">
        <w:t>司法少年於結束收容、安置輔導、感化教育或其他機構處遇後，未必已具備立即返家、返校，或穩定回歸社區生活之條件，仍可能需要短期安置與銜接支持，協助其逐步適應自由社會及校園生活。惟目前部分縣市緊急短期安置床位有限，難以容納司法少年之實際需求，亦欠缺住宿型之過渡性教育措施，導致少年離開機構後，可能面臨照顧與教育銜接空窗。</w:t>
      </w:r>
    </w:p>
    <w:p w14:paraId="789A0B3F" w14:textId="77777777" w:rsidR="008E54A3" w:rsidRPr="00134B54" w:rsidRDefault="00E744CB" w:rsidP="00F364EF">
      <w:pPr>
        <w:pStyle w:val="ae"/>
        <w:ind w:left="924"/>
      </w:pPr>
      <w:r w:rsidRPr="00134B54">
        <w:t>此外，各地過渡性教育措施之型態不一，有委託承辦單位於固定場域辦理者，亦有運用中介教育之中途資源班或高關懷據點者；部分措施因課程時段有限，學生仍須在不同場域間往返學習。再者，學校對過渡性教育措施未必熟悉，各校在人力配置、實務經驗及資源連結能力上差異甚大，導致服務品質不一，恐影響學生學習權益，並產生制度公平性疑慮。</w:t>
      </w:r>
    </w:p>
    <w:p w14:paraId="64E42D23" w14:textId="77777777" w:rsidR="008E54A3" w:rsidRPr="00134B54" w:rsidRDefault="00E744CB" w:rsidP="00F364EF">
      <w:pPr>
        <w:pStyle w:val="ae"/>
        <w:ind w:left="924"/>
      </w:pPr>
      <w:r w:rsidRPr="00134B54">
        <w:t>然司法少年之穩定復歸，並非僅靠返回原校或原家庭即可完成，而應依少年之個別需求，銜接短期住宿、生活照顧、心理支持、家庭修復、就學協助、自立生活及就業服務等整合性支持。尤其對於家庭支持薄弱、情緒行為不穩定或社交適應困難之少年，若欠缺介於機構處遇與完全回歸社區之間的過渡支持，將更容易形成照顧、教育與生活適應上的斷裂，影響其復歸成效。</w:t>
      </w:r>
    </w:p>
    <w:p w14:paraId="3CE3F384" w14:textId="786CFF21" w:rsidR="00E744CB" w:rsidRPr="00134B54" w:rsidRDefault="00E744CB" w:rsidP="00F364EF">
      <w:pPr>
        <w:pStyle w:val="ae"/>
        <w:ind w:left="924"/>
      </w:pPr>
      <w:r w:rsidRPr="00134B54">
        <w:lastRenderedPageBreak/>
        <w:t>爰要求司法院於</w:t>
      </w:r>
      <w:r w:rsidR="000A2CCF" w:rsidRPr="00134B54">
        <w:rPr>
          <w:rFonts w:hint="eastAsia"/>
        </w:rPr>
        <w:t>6</w:t>
      </w:r>
      <w:r w:rsidRPr="00134B54">
        <w:t>個月內，會同教育部、衛</w:t>
      </w:r>
      <w:r w:rsidR="00326AB9" w:rsidRPr="00134B54">
        <w:rPr>
          <w:rFonts w:hint="eastAsia"/>
        </w:rPr>
        <w:t>生</w:t>
      </w:r>
      <w:r w:rsidRPr="00134B54">
        <w:t>福</w:t>
      </w:r>
      <w:r w:rsidR="00326AB9" w:rsidRPr="00134B54">
        <w:rPr>
          <w:rFonts w:hint="eastAsia"/>
        </w:rPr>
        <w:t>利</w:t>
      </w:r>
      <w:r w:rsidRPr="00134B54">
        <w:t>部就司法少年短期安置、住宿型過渡性教育措施及出校、出所、出機構後之過渡支持，提出書面檢討報告送交立法院司法及法制委員會。【50】</w:t>
      </w:r>
    </w:p>
    <w:p w14:paraId="3A1B1F01" w14:textId="7DB2C53B"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4E4563EA" w14:textId="25DCFCB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6020C0B2" w14:textId="5B364783" w:rsidR="008E54A3" w:rsidRPr="00134B54" w:rsidRDefault="00E744CB" w:rsidP="00AD1655">
      <w:pPr>
        <w:pStyle w:val="a"/>
        <w:ind w:left="924" w:hanging="567"/>
      </w:pPr>
      <w:r w:rsidRPr="00134B54">
        <w:t>依據立法院預算中心115年</w:t>
      </w:r>
      <w:r w:rsidR="00082815" w:rsidRPr="00134B54">
        <w:rPr>
          <w:rFonts w:hint="eastAsia"/>
        </w:rPr>
        <w:t>度</w:t>
      </w:r>
      <w:r w:rsidRPr="00134B54">
        <w:t>預算評估報告，法官評鑑新制自109年7月17日施行後，收案量明顯增加。相較於舊制時期總案件量僅70件，新制施行後至114年7月31日，總案件量已增至1,488件，其中由人民請求之案件為1,470件，占總收案量98.79%。</w:t>
      </w:r>
    </w:p>
    <w:p w14:paraId="3FF5DC18" w14:textId="77777777" w:rsidR="008E54A3" w:rsidRPr="00134B54" w:rsidRDefault="00E744CB" w:rsidP="00AD1655">
      <w:pPr>
        <w:pStyle w:val="ae"/>
        <w:ind w:left="924"/>
      </w:pPr>
      <w:r w:rsidRPr="00134B54">
        <w:t>然而，進一步分析案件，在已結案之1,353件中，決議不付評鑑者有1,206件，不予受理者有126件，兩者合計占總結案數98.45%。也就是說，雖然民眾請求案件大幅增加，但真正進入實質評鑑程序者仍屬少數。</w:t>
      </w:r>
    </w:p>
    <w:p w14:paraId="3EAE9A71" w14:textId="77777777" w:rsidR="008E54A3" w:rsidRPr="00134B54" w:rsidRDefault="00E744CB" w:rsidP="00AD1655">
      <w:pPr>
        <w:pStyle w:val="ae"/>
        <w:ind w:left="924"/>
      </w:pPr>
      <w:r w:rsidRPr="00134B54">
        <w:t>查法官評鑑制度之目的，係針對法官違失行為進行究責，而非作為個案裁判結果之救濟途徑。然而，從新制施行後之案件樣態可見，許多民眾係因不服法院裁判結果而提出評鑑請求，甚至將法官評鑑制度誤認為類似上級審之救濟管道，期待藉此翻轉個案裁判結果。此種情形不僅造成請求案件數大幅增加，也反映民眾對法官評鑑制度之功能、範圍及限制，仍有明顯理解不足之問題。</w:t>
      </w:r>
    </w:p>
    <w:p w14:paraId="29D8E203" w14:textId="6AE2B089" w:rsidR="00E744CB" w:rsidRPr="00134B54" w:rsidRDefault="00E744CB" w:rsidP="00AD1655">
      <w:pPr>
        <w:pStyle w:val="ae"/>
        <w:ind w:left="924"/>
      </w:pPr>
      <w:r w:rsidRPr="00134B54">
        <w:t>爰要求司法院於</w:t>
      </w:r>
      <w:r w:rsidR="00273448" w:rsidRPr="00134B54">
        <w:rPr>
          <w:rFonts w:hint="eastAsia"/>
        </w:rPr>
        <w:t>網站或請求書範例上加強宣導，讓民眾理解法官評鑑制度之功能及注意哪些情形會是不予受理或不付評鑑</w:t>
      </w:r>
      <w:r w:rsidRPr="00134B54">
        <w:t>。【51】</w:t>
      </w:r>
    </w:p>
    <w:p w14:paraId="6479696A" w14:textId="098076FB"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20611E41" w14:textId="486F5E83"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671A5BBF" w14:textId="77777777" w:rsidR="008E54A3" w:rsidRPr="00134B54" w:rsidRDefault="00E744CB" w:rsidP="00184EFF">
      <w:pPr>
        <w:pStyle w:val="a"/>
        <w:ind w:left="924" w:hanging="567"/>
      </w:pPr>
      <w:r w:rsidRPr="00134B54">
        <w:t>司法院115年度施政計畫已將「持續精進裁判書公開作業規定」列為重要目標，並強調應完善裁判書公開方式及相關遮隱措施，以平衡「人民知的權利」與「個人資訊隱私權」之法益衝突，落實司法公開透明。此外，司法院亦曾於114年5月函請所屬各機關，辦理裁判書公開作業時，應切實檢視並妥適遮隱未成年人、被害人等依法不得揭示身分之資訊；另就民事保護令事件涉及性影像保護令款項者，提醒法院應特別注意性影像證據之隱私保護及卷證管理。</w:t>
      </w:r>
    </w:p>
    <w:p w14:paraId="715B6F74" w14:textId="77777777" w:rsidR="008E54A3" w:rsidRPr="00134B54" w:rsidRDefault="00E744CB" w:rsidP="00184EFF">
      <w:pPr>
        <w:pStyle w:val="ae"/>
        <w:ind w:left="924"/>
      </w:pPr>
      <w:r w:rsidRPr="00134B54">
        <w:t>惟性侵害、性騷擾、家庭暴力、兒少性剝削及數位性別暴力等案件，具有高度隱私性及二度傷害風險。裁判書即使已遮</w:t>
      </w:r>
      <w:r w:rsidRPr="00134B54">
        <w:lastRenderedPageBreak/>
        <w:t>隱姓名、身分證字號、地址等基本個人資料，仍可能因案發地點、雙方關係、就學或工作資訊、家庭成員、社群對話、影像內容或其他案件細節，使被害人身分遭外界辨識。尤其數位性別暴力案件常涉及偷拍、散布、合成或持有性影像等情形，若裁判書公開內容未建立更細緻之遮隱檢核標準，恐使被害人在司法程序結束後，仍持續承受隱私暴露、網路搜尋的二度傷害。</w:t>
      </w:r>
    </w:p>
    <w:p w14:paraId="468A2F76" w14:textId="77777777" w:rsidR="008E54A3" w:rsidRPr="00134B54" w:rsidRDefault="00E744CB" w:rsidP="00184EFF">
      <w:pPr>
        <w:pStyle w:val="ae"/>
        <w:ind w:left="924"/>
      </w:pPr>
      <w:r w:rsidRPr="00134B54">
        <w:t>裁判書公開制度固然有助於司法透明、學術研究及社會監督，惟公開不應以犧牲被害人隱私與安全為代價。對於性別暴力案件，司法院應進一步建立更明確之案件類型、遮隱範圍、公開前檢核、補充遮隱申請及教育訓練機制，避免各法院或承辦人員對「足資識別被害人身分」之判斷標準不一，影響被害人權益保障。</w:t>
      </w:r>
    </w:p>
    <w:p w14:paraId="7389907E" w14:textId="7A9D4FFC" w:rsidR="00E744CB" w:rsidRPr="00134B54" w:rsidRDefault="00E744CB" w:rsidP="00184EFF">
      <w:pPr>
        <w:pStyle w:val="ae"/>
        <w:ind w:left="924"/>
      </w:pPr>
      <w:r w:rsidRPr="00134B54">
        <w:t>綜上，爰要求司法院應針對性侵害、性騷擾、家庭暴力、兒少性剝削及數位性別暴力等案件之隱私保護機制，建立更完善的制度，於</w:t>
      </w:r>
      <w:r w:rsidR="00184EFF" w:rsidRPr="00134B54">
        <w:rPr>
          <w:rFonts w:hint="eastAsia"/>
        </w:rPr>
        <w:t>5</w:t>
      </w:r>
      <w:r w:rsidRPr="00134B54">
        <w:t>個月內向立法院司法及法制委員會提出書面報告。【52】</w:t>
      </w:r>
    </w:p>
    <w:p w14:paraId="119B61DA" w14:textId="457AFC3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1A2BE112" w14:textId="08828BD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2362122B" w14:textId="77777777" w:rsidR="00C62C0D" w:rsidRPr="00134B54" w:rsidRDefault="00E744CB" w:rsidP="00CD0CA8">
      <w:pPr>
        <w:pStyle w:val="a"/>
        <w:ind w:left="924" w:hanging="567"/>
      </w:pPr>
      <w:r w:rsidRPr="00134B54">
        <w:t>法律扶助制度之目的，在於使無資力或因其他原因無法受到法律適當保護者，得以獲得訴訟代理、辯護、法律文件撰擬、法律諮詢等必要法律協助，扶助律師除須進行閱卷、書狀撰擬及出庭外，亦須投入會談、溝通、程序說明及案件風險評估等工作。</w:t>
      </w:r>
    </w:p>
    <w:p w14:paraId="698A58B0" w14:textId="4156C4DB" w:rsidR="00C62C0D" w:rsidRPr="00134B54" w:rsidRDefault="00E744CB" w:rsidP="00CD0CA8">
      <w:pPr>
        <w:pStyle w:val="ae"/>
        <w:ind w:left="924"/>
      </w:pPr>
      <w:r w:rsidRPr="00134B54">
        <w:t>扶助律師酬金制度是否合理，攸關律師承辦意願、服務品質及法律扶助制度之永續運作。惟現行扶助律師酬金雖曾就國民法官案件、偏遠地區交通費、陪同偵訊、特定案件酌增等個別項目進行調整，然多屬特定案件類型或特殊項目之修補，尚未就一般扶助案件基本酬金基數建立定期檢討機制。尤其一般扶助案件之基本酬金基數，自</w:t>
      </w:r>
      <w:r w:rsidR="0049164B" w:rsidRPr="00134B54">
        <w:rPr>
          <w:rFonts w:hint="eastAsia"/>
        </w:rPr>
        <w:t>財團法人</w:t>
      </w:r>
      <w:r w:rsidRPr="00134B54">
        <w:t>法律扶助基金會成立以來長期維持每一基數1,000元，迄今已逾20年未全面調整，恐難充分反映物價變動、案件複雜程度、實際工時及辦案成本，進而影響扶助律師承辦意願與受扶助人權益。</w:t>
      </w:r>
    </w:p>
    <w:p w14:paraId="133AF938" w14:textId="19AB3A9E" w:rsidR="00E744CB" w:rsidRPr="00134B54" w:rsidRDefault="00E744CB" w:rsidP="00CD0CA8">
      <w:pPr>
        <w:pStyle w:val="ae"/>
        <w:ind w:left="924"/>
      </w:pPr>
      <w:r w:rsidRPr="00134B54">
        <w:t>爰要求司法院於3個月內就一般扶助案件基本酬金建立定期檢討機制，並將物價變動、案件類型、平均工時、辦案成本及第一線扶助律師意見納入評估</w:t>
      </w:r>
      <w:r w:rsidR="00CD0CA8" w:rsidRPr="00134B54">
        <w:rPr>
          <w:rFonts w:hint="eastAsia"/>
        </w:rPr>
        <w:t>書面報告</w:t>
      </w:r>
      <w:r w:rsidRPr="00134B54">
        <w:t>，送交立法院司法及法制委員會。【53】</w:t>
      </w:r>
    </w:p>
    <w:p w14:paraId="4EC5EBD6" w14:textId="6069AE3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提案人：張雅琳</w:t>
      </w:r>
    </w:p>
    <w:p w14:paraId="514CDFD3" w14:textId="0BE1794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74B6829B" w14:textId="00099829" w:rsidR="00C62C0D" w:rsidRPr="00134B54" w:rsidRDefault="00E744CB" w:rsidP="00C21B6C">
      <w:pPr>
        <w:pStyle w:val="a"/>
        <w:ind w:left="924" w:hanging="567"/>
      </w:pPr>
      <w:r w:rsidRPr="00134B54">
        <w:t>司法院依《法律扶助法》第3條及第6條規定設立</w:t>
      </w:r>
      <w:r w:rsidR="009B135B" w:rsidRPr="00134B54">
        <w:rPr>
          <w:rFonts w:hint="eastAsia"/>
        </w:rPr>
        <w:t>財團法人</w:t>
      </w:r>
      <w:r w:rsidRPr="00134B54">
        <w:t>法律扶助基金會，並將基金法定目標額度定為100億元。惟截至115年度，法律扶助基金會基金餘額雖逐年略增至38.55億元，仍僅達法定目標值100億元之38.55%；且基金來源幾乎全數仰賴司法院捐助，顯示現行民間捐助及自籌財源成效有限，尚難有效挹注基金累積，亦不利基金長期穩健發展。</w:t>
      </w:r>
    </w:p>
    <w:p w14:paraId="63F5E70A" w14:textId="02F8779D" w:rsidR="00E744CB" w:rsidRPr="00134B54" w:rsidRDefault="00E744CB" w:rsidP="00C21B6C">
      <w:pPr>
        <w:pStyle w:val="ae"/>
        <w:ind w:left="924"/>
      </w:pPr>
      <w:r w:rsidRPr="00134B54">
        <w:t>爰要求司法院於3個月內，針對</w:t>
      </w:r>
      <w:r w:rsidR="009B135B" w:rsidRPr="00134B54">
        <w:rPr>
          <w:rFonts w:hint="eastAsia"/>
        </w:rPr>
        <w:t>財團法人</w:t>
      </w:r>
      <w:r w:rsidRPr="00134B54">
        <w:t>法律扶助基金會基金來源結構、民間捐助宣傳成效及自籌財源推動情形進行檢討，並研議多元捐助模式及具體自籌財源計畫，向立法院司法及法制委員會提出書面報告。【54】</w:t>
      </w:r>
    </w:p>
    <w:p w14:paraId="5EAB40C0" w14:textId="78D04D6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6A36AE4D" w14:textId="2B3AA2E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03660C41" w14:textId="77777777" w:rsidR="00C62C0D" w:rsidRPr="00134B54" w:rsidRDefault="00E744CB" w:rsidP="002962B8">
      <w:pPr>
        <w:pStyle w:val="a"/>
        <w:ind w:left="924" w:hanging="567"/>
      </w:pPr>
      <w:r w:rsidRPr="00134B54">
        <w:t>針對司法院及其所屬機關106至115年度派員出國計畫，總計畫項數共103項，總預算經費達7,429萬2千元，其中單一類別「考察」之項數即占101項，經費占比高達98.89%，顯見出國計畫之類別嚴重集中於考察項目，恐因重複考察如日本裁判員制度或違憲審查制度等類似目標，導致建議報告內容趨於雷同並降低實質效益</w:t>
      </w:r>
      <w:r w:rsidR="00C62C0D" w:rsidRPr="00134B54">
        <w:rPr>
          <w:rFonts w:hint="eastAsia"/>
        </w:rPr>
        <w:t>。</w:t>
      </w:r>
    </w:p>
    <w:p w14:paraId="3EC4A856" w14:textId="77777777" w:rsidR="00C62C0D" w:rsidRPr="00134B54" w:rsidRDefault="00E744CB" w:rsidP="002962B8">
      <w:pPr>
        <w:pStyle w:val="ae"/>
        <w:ind w:left="924"/>
      </w:pPr>
      <w:r w:rsidRPr="00134B54">
        <w:t>又依據《行政院及所屬各級機關因公派員出國案件編審要點》第3點規定，出國計畫應確屬業務需要且變更須從嚴核定，然司法院近年實際依原計畫執行者每年度僅1至4項，變更計畫（含項目、人數或天數）之項數卻高達8至16項，顯示預算編列時未審慎評估，致使出國計畫流於形式並徒增行政作業成本。</w:t>
      </w:r>
    </w:p>
    <w:p w14:paraId="0388452C" w14:textId="2DC5458D" w:rsidR="00E744CB" w:rsidRPr="00134B54" w:rsidRDefault="00E744CB" w:rsidP="002962B8">
      <w:pPr>
        <w:pStyle w:val="ae"/>
        <w:ind w:left="924"/>
      </w:pPr>
      <w:r w:rsidRPr="00134B54">
        <w:t>爰要求司法院針對現行派員出國計畫之執行情形進行檢討，並於3個月內向立法院司法及法制委員會提出書面報告</w:t>
      </w:r>
      <w:r w:rsidR="00F87A0C" w:rsidRPr="00134B54">
        <w:rPr>
          <w:rFonts w:hint="eastAsia"/>
        </w:rPr>
        <w:t>。</w:t>
      </w:r>
      <w:r w:rsidRPr="00134B54">
        <w:t>【55】</w:t>
      </w:r>
    </w:p>
    <w:p w14:paraId="1F384664" w14:textId="071D4F4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0A780F79" w14:textId="15317CE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14C8153C" w14:textId="7C97C436" w:rsidR="00C62C0D" w:rsidRPr="00134B54" w:rsidRDefault="00E744CB" w:rsidP="00D81B2B">
      <w:pPr>
        <w:pStyle w:val="a"/>
        <w:ind w:left="924" w:hanging="567"/>
      </w:pPr>
      <w:r w:rsidRPr="00134B54">
        <w:t>依據立法院預算中心115年</w:t>
      </w:r>
      <w:r w:rsidR="00971A39" w:rsidRPr="00134B54">
        <w:rPr>
          <w:rFonts w:hint="eastAsia"/>
        </w:rPr>
        <w:t>度</w:t>
      </w:r>
      <w:r w:rsidRPr="00134B54">
        <w:t>預算評估報告，司法院主管112及113年度推動國民法官制度相關經費預算數分別為2億8,650萬元及2億7,265萬9千元，惟決算數僅分別為5,893萬4千元及5,851萬4千元，執行率為20.57%及21.46%，顯示相關經費執行情形明顯欠佳。</w:t>
      </w:r>
    </w:p>
    <w:p w14:paraId="620B28BB" w14:textId="2F363C5D" w:rsidR="00C62C0D" w:rsidRPr="00134B54" w:rsidRDefault="00E744CB" w:rsidP="00D81B2B">
      <w:pPr>
        <w:pStyle w:val="ae"/>
        <w:ind w:left="924"/>
      </w:pPr>
      <w:r w:rsidRPr="00134B54">
        <w:t>又司法院主管112及113年度推動國民法官制度相關經費，可用預算數占當年度可用預算數之比重分別達74.27%及</w:t>
      </w:r>
      <w:r w:rsidRPr="00134B54">
        <w:lastRenderedPageBreak/>
        <w:t>77.67%，顯示該項經費占比甚高；惟實際執行結果卻與原編列預算有明顯落差，反映相關經費需求估算與實際執行情形未盡相符，恐影響預算配置之合理性及資源運用效益，實有檢討必要。</w:t>
      </w:r>
    </w:p>
    <w:p w14:paraId="269179CB" w14:textId="568B86BD" w:rsidR="00E744CB" w:rsidRPr="00134B54" w:rsidRDefault="00E744CB" w:rsidP="00D81B2B">
      <w:pPr>
        <w:pStyle w:val="ae"/>
        <w:ind w:left="924"/>
      </w:pPr>
      <w:r w:rsidRPr="00134B54">
        <w:t>爰要求司法院於3個月內針對上述情況，向立法院司法及法制委員會提出</w:t>
      </w:r>
      <w:r w:rsidR="00DA5386" w:rsidRPr="00134B54">
        <w:rPr>
          <w:rFonts w:hint="eastAsia"/>
        </w:rPr>
        <w:t>書面</w:t>
      </w:r>
      <w:r w:rsidRPr="00134B54">
        <w:t>報告。【56】</w:t>
      </w:r>
    </w:p>
    <w:p w14:paraId="36A4D82E" w14:textId="429DD1C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3B8698A3" w14:textId="041461BC"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1E13B2CE" w14:textId="45160C40" w:rsidR="00C62C0D" w:rsidRPr="00134B54" w:rsidRDefault="00A22381" w:rsidP="00AB5E1F">
      <w:pPr>
        <w:pStyle w:val="a"/>
        <w:ind w:left="924" w:hanging="567"/>
      </w:pPr>
      <w:r w:rsidRPr="00134B54">
        <w:t>115年度</w:t>
      </w:r>
      <w:r w:rsidR="00E744CB" w:rsidRPr="00134B54">
        <w:t>司法院</w:t>
      </w:r>
      <w:r w:rsidRPr="00134B54">
        <w:rPr>
          <w:rFonts w:hint="eastAsia"/>
        </w:rPr>
        <w:t>預算案</w:t>
      </w:r>
      <w:r w:rsidR="00E744CB" w:rsidRPr="00134B54">
        <w:t>於</w:t>
      </w:r>
      <w:r w:rsidRPr="00134B54">
        <w:rPr>
          <w:rFonts w:hint="eastAsia"/>
        </w:rPr>
        <w:t>第3目</w:t>
      </w:r>
      <w:r w:rsidR="00E744CB" w:rsidRPr="00134B54">
        <w:t>「審判行政」項下「辦理少年及家事審判行政業務」編列新臺幣5,739萬6千元，用以持續研修少年及家事事件相關法案與配套措施，完備少年及家事事件相關法制及行政業務。又司法院115年度施政計畫已明列，應整合專家資源，發展兒少表意權相關辦案工具，以落實家事事件處理之正當程序。</w:t>
      </w:r>
    </w:p>
    <w:p w14:paraId="693446D1" w14:textId="77777777" w:rsidR="00C62C0D" w:rsidRPr="00134B54" w:rsidRDefault="00E744CB" w:rsidP="00AB5E1F">
      <w:pPr>
        <w:pStyle w:val="ae"/>
        <w:ind w:left="924"/>
      </w:pPr>
      <w:r w:rsidRPr="00134B54">
        <w:t>憲法法庭111年憲判字第8號判決明確指出，未成年子女並非家事程序中的被動客體，而是具有程序主體地位；法院於處理親權、交付子女或相關暫時處分事件時，只要未成年子女具備表達意見能力，且客觀上有表達可能，即應以適當方式，使其有陳述意見之機會，且程序監理人或其他專業人員之意見，不能取代兒少本人表意。尤其交付子女之暫時處分，可能立即改變兒少生活環境、語言、就學及人際關係，法院更應以兒少最佳利益為核心，審慎衡量兒少意願與生活連續性，避免使兒少表意權流於形式。</w:t>
      </w:r>
    </w:p>
    <w:p w14:paraId="107A4AD7" w14:textId="77777777" w:rsidR="00C62C0D" w:rsidRPr="00134B54" w:rsidRDefault="00E744CB" w:rsidP="00AB5E1F">
      <w:pPr>
        <w:pStyle w:val="ae"/>
        <w:ind w:left="924"/>
      </w:pPr>
      <w:r w:rsidRPr="00134B54">
        <w:t>依據兒童權利公約之精神，兒少表意權之落實，並非形式上詢問未成年子女意見，亦不該簡化為僅要求兒少在父母之間作出選擇。尤其於高衝突離婚、親權酌定或會面交往事件中，兒少可能承受父母衝突、心理控制、父母離間行為或選邊壓力，若法院未有專業評估機制，恐使兒少表意權流於形式，甚至使兒少承受額外心理壓力，反而不利其身心發展。</w:t>
      </w:r>
    </w:p>
    <w:p w14:paraId="1CF61CB3" w14:textId="76E02863" w:rsidR="00E744CB" w:rsidRPr="00134B54" w:rsidRDefault="00E744CB" w:rsidP="00AB5E1F">
      <w:pPr>
        <w:pStyle w:val="ae"/>
        <w:ind w:left="924"/>
      </w:pPr>
      <w:r w:rsidRPr="00134B54">
        <w:t>爰要求司法院於3個月內，就家事事件兒少表意權之落實與精進、兒少表意權辦案工具之研擬進度、法官及相關專業人員教育訓練規劃，提出書面報告並送交立法院司法及法制委員會，以建立適齡、友善、安全且具跨專業支持之兒少表意權保障制度。【57】</w:t>
      </w:r>
    </w:p>
    <w:p w14:paraId="4AD3C12F" w14:textId="12ED6A3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3910C13C" w14:textId="57C8EF3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2222853F" w14:textId="77777777" w:rsidR="00F00831" w:rsidRPr="00134B54" w:rsidRDefault="00E744CB" w:rsidP="0073232F">
      <w:pPr>
        <w:pStyle w:val="a"/>
        <w:ind w:left="924" w:hanging="567"/>
      </w:pPr>
      <w:r w:rsidRPr="00134B54">
        <w:t>現行民法關於兩願離婚之規定，主要係以夫妻雙方具有離</w:t>
      </w:r>
      <w:r w:rsidRPr="00134B54">
        <w:lastRenderedPageBreak/>
        <w:t>婚合意、作成書面、經二人以上證人簽名，並向戶政機關辦理離婚登記為要件。然而，對於育有未成年子女之家庭而言，離婚並不只是婚姻關係的解消，更會直接影響未成年子女日後的生活照顧、親權行使、會面交往、扶養費負擔、教育與醫療決定，以及其他重大生活安排。</w:t>
      </w:r>
    </w:p>
    <w:p w14:paraId="4075BAB3" w14:textId="77777777" w:rsidR="00F00831" w:rsidRPr="00134B54" w:rsidRDefault="00E744CB" w:rsidP="0073232F">
      <w:pPr>
        <w:pStyle w:val="ae"/>
        <w:ind w:left="924"/>
      </w:pPr>
      <w:r w:rsidRPr="00134B54">
        <w:t>實務上，部分父母雖已完成兩願離婚登記，卻未同步就未成年子女之照顧與權益事項作成明確安排，導致離婚後仍持續發生親權、會面交往、扶養費及照顧分工等爭議。此種情形不僅使未成年子女被迫承受父母衝突，也讓其生活安排長期處於不確定狀態，並可能進一步增加後續家事事件之訟源。</w:t>
      </w:r>
    </w:p>
    <w:p w14:paraId="263FFA96" w14:textId="77777777" w:rsidR="00F00831" w:rsidRPr="00134B54" w:rsidRDefault="00E744CB" w:rsidP="0073232F">
      <w:pPr>
        <w:pStyle w:val="ae"/>
        <w:ind w:left="924"/>
      </w:pPr>
      <w:r w:rsidRPr="00134B54">
        <w:t>但若以兒童最佳利益為優先，不應等到父母發生爭訟後才被動處理，而應在兩願離婚程序中即被納入制度設計，特別針對未成年子女之照顧安排與權益保障，應於離婚登記前即獲得基本確認。</w:t>
      </w:r>
    </w:p>
    <w:p w14:paraId="528F175B" w14:textId="00A54003" w:rsidR="00E744CB" w:rsidRPr="00134B54" w:rsidRDefault="00E744CB" w:rsidP="0073232F">
      <w:pPr>
        <w:pStyle w:val="ae"/>
        <w:ind w:left="924"/>
      </w:pPr>
      <w:r w:rsidRPr="00134B54">
        <w:t>爰</w:t>
      </w:r>
      <w:r w:rsidR="002241E0" w:rsidRPr="00134B54">
        <w:rPr>
          <w:rFonts w:hint="eastAsia"/>
        </w:rPr>
        <w:t>請</w:t>
      </w:r>
      <w:r w:rsidRPr="00134B54">
        <w:t>司法院</w:t>
      </w:r>
      <w:r w:rsidR="002241E0" w:rsidRPr="00134B54">
        <w:rPr>
          <w:rFonts w:hint="eastAsia"/>
        </w:rPr>
        <w:t>配合法務部研議</w:t>
      </w:r>
      <w:r w:rsidRPr="00134B54">
        <w:t>「育有未成年子女之夫妻辦理兩願離婚時，是否將未成年子女照顧協議或相關安排納入法定要件或登記前必要確認事項」</w:t>
      </w:r>
      <w:r w:rsidR="002241E0" w:rsidRPr="00134B54">
        <w:rPr>
          <w:rFonts w:hint="eastAsia"/>
        </w:rPr>
        <w:t>之可行性書面</w:t>
      </w:r>
      <w:r w:rsidRPr="00134B54">
        <w:t>報告。【58】</w:t>
      </w:r>
    </w:p>
    <w:p w14:paraId="6F9A15E9" w14:textId="4ADC80F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提案人：張雅琳</w:t>
      </w:r>
    </w:p>
    <w:p w14:paraId="084BFDD1" w14:textId="61482E3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7A2C967C" w14:textId="5882856F" w:rsidR="00F00831" w:rsidRPr="00134B54" w:rsidRDefault="00E744CB" w:rsidP="004A2165">
      <w:pPr>
        <w:pStyle w:val="a"/>
        <w:ind w:left="924" w:hanging="567"/>
      </w:pPr>
      <w:r w:rsidRPr="00134B54">
        <w:t>依據</w:t>
      </w:r>
      <w:r w:rsidR="00C568AC" w:rsidRPr="00134B54">
        <w:rPr>
          <w:rFonts w:hint="eastAsia"/>
        </w:rPr>
        <w:t>監察院</w:t>
      </w:r>
      <w:r w:rsidRPr="00134B54">
        <w:t>國家人權委員會115年3月24日提出《平等近用司法</w:t>
      </w:r>
      <w:r w:rsidR="00C568AC" w:rsidRPr="00134B54">
        <w:rPr>
          <w:rFonts w:hint="eastAsia"/>
        </w:rPr>
        <w:t>－</w:t>
      </w:r>
      <w:r w:rsidRPr="00134B54">
        <w:t>台灣司法通譯與指定辯護制度》報告指出，現行司法通譯制度仍有若干亟待改善之處。報告指出，法院現場往往難以即時確認通譯內容是否完整、正確，事後也不易進行有效檢核；同時，當事人及關係人在通譯服務近用性、卷證資訊獲知權、通譯品質控管，以及不適任通譯人員汰除機制等方面，仍面臨制度不足的問題。</w:t>
      </w:r>
    </w:p>
    <w:p w14:paraId="6819C83C" w14:textId="77777777" w:rsidR="00F00831" w:rsidRPr="00134B54" w:rsidRDefault="00E744CB" w:rsidP="004A2165">
      <w:pPr>
        <w:pStyle w:val="ae"/>
        <w:ind w:left="924"/>
      </w:pPr>
      <w:r w:rsidRPr="00134B54">
        <w:t>回到法院實務現場，雖然現行制度已設有通譯具結、倫理規範、評量表及意見反應表等機制，但這些措施多偏向事前要求或事後評價，仍難以確保傳譯過程中的即時品質。尤其當事人之所以需要通譯協助，正是因為語言不通；一旦發生錯譯、漏譯，或通譯僅以摘要方式轉述，當事人往往難以即時察覺或提出異議。如此一來，不僅可能影響其對訴訟程序與卷證內容的理解，也將進一步影響其陳述意見及行使防禦權的實質保障。</w:t>
      </w:r>
    </w:p>
    <w:p w14:paraId="2922BC51" w14:textId="1B9617BF" w:rsidR="00E744CB" w:rsidRPr="00134B54" w:rsidRDefault="00E744CB" w:rsidP="004A2165">
      <w:pPr>
        <w:pStyle w:val="ae"/>
        <w:ind w:left="924"/>
      </w:pPr>
      <w:r w:rsidRPr="00134B54">
        <w:t>爰要求司法院於3個月內檢討現行法院通譯品質評量及申訴處理機制，研議建立具體可行之品質控管措施，並向立法院司法及法制委員會提出書面報告。【59】</w:t>
      </w:r>
    </w:p>
    <w:p w14:paraId="59810492" w14:textId="72FAC56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lastRenderedPageBreak/>
        <w:t>提案人：張雅琳</w:t>
      </w:r>
    </w:p>
    <w:p w14:paraId="19738F55" w14:textId="3820E1E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沈發惠</w:t>
      </w:r>
    </w:p>
    <w:p w14:paraId="2097904B" w14:textId="0D68CED5" w:rsidR="00F00831" w:rsidRPr="00134B54" w:rsidRDefault="00E744CB" w:rsidP="000A4714">
      <w:pPr>
        <w:pStyle w:val="a"/>
        <w:ind w:left="924" w:hanging="567"/>
      </w:pPr>
      <w:r w:rsidRPr="00134B54">
        <w:t>近年醫師性別事件頻傳，引發社會高度關注。依衛</w:t>
      </w:r>
      <w:r w:rsidR="00F05D66" w:rsidRPr="00134B54">
        <w:rPr>
          <w:rFonts w:hint="eastAsia"/>
        </w:rPr>
        <w:t>生</w:t>
      </w:r>
      <w:r w:rsidRPr="00134B54">
        <w:t>福</w:t>
      </w:r>
      <w:r w:rsidR="00F05D66" w:rsidRPr="00134B54">
        <w:rPr>
          <w:rFonts w:hint="eastAsia"/>
        </w:rPr>
        <w:t>利</w:t>
      </w:r>
      <w:r w:rsidRPr="00134B54">
        <w:t>部《醫師法》第25條規定，醫師涉及利用業務犯罪經判決確定或執行業務違背醫學倫理等情事，由醫師公會或主管機關移付懲戒。衛福部雖針對相關案件於2025年底建置「醫事人員性別事件資訊專區」揭露，但資訊限於判決確定後，對於地方政府衛生局於事件發生之時即可行政調查後啟動懲戒程序之時效過慢，甚或出現需透過媒體報導案件後，地方衛生局始啟動懲戒之情形。</w:t>
      </w:r>
    </w:p>
    <w:p w14:paraId="6EA235AB" w14:textId="77777777" w:rsidR="00F00831" w:rsidRPr="00134B54" w:rsidRDefault="00E744CB" w:rsidP="000A4714">
      <w:pPr>
        <w:pStyle w:val="ae"/>
        <w:ind w:left="924"/>
      </w:pPr>
      <w:r w:rsidRPr="00134B54">
        <w:t>近期，司法院已召開會議與法務部和衛福部再次針對如何串接資訊達成初步共識，然受限於現行司法院判決書查詢系統等資料庫未納入「身分證字號」，易產生同名同姓、查詢不易等情況，需以眾多書記官人工方式處理，亦有時效問題。</w:t>
      </w:r>
    </w:p>
    <w:p w14:paraId="59C62848" w14:textId="77777777" w:rsidR="00F00831" w:rsidRPr="00134B54" w:rsidRDefault="00E744CB" w:rsidP="000A4714">
      <w:pPr>
        <w:pStyle w:val="ae"/>
        <w:ind w:left="924"/>
      </w:pPr>
      <w:r w:rsidRPr="00134B54">
        <w:t>考量後續《兒童及少年福利與權益保障法》修正將納入「兒少工作證」，實務上亦會再次面對類似資料庫介接狀況。</w:t>
      </w:r>
    </w:p>
    <w:p w14:paraId="60872E03" w14:textId="5FF1C958" w:rsidR="00E744CB" w:rsidRPr="00134B54" w:rsidRDefault="00E744CB" w:rsidP="000A4714">
      <w:pPr>
        <w:pStyle w:val="ae"/>
        <w:ind w:left="924"/>
      </w:pPr>
      <w:r w:rsidRPr="00134B54">
        <w:t>爰建請司法院研究各國相關作法，評估於裁判書相關系統內部增置身分證字號資訊之可行性，以即時啟動醫師等醫事人員懲戒以及保障兒少避免接觸相關前科犯。請研擬研究、評估及相關規劃之期程，做成書面報告，於2個月內提交予立法院司法及法制委員會。【60】</w:t>
      </w:r>
    </w:p>
    <w:p w14:paraId="4122DE15" w14:textId="5962B3C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提案人：范　雲</w:t>
      </w:r>
    </w:p>
    <w:p w14:paraId="3A981E48" w14:textId="23E1CC38"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連署人：莊瑞雄　張雅琳</w:t>
      </w:r>
    </w:p>
    <w:p w14:paraId="489F2E01" w14:textId="07F8E970" w:rsidR="00B3257F" w:rsidRPr="00134B54" w:rsidRDefault="00E744CB" w:rsidP="00502207">
      <w:pPr>
        <w:pStyle w:val="a"/>
        <w:ind w:left="924" w:hanging="567"/>
      </w:pPr>
      <w:r w:rsidRPr="00134B54">
        <w:t>鑑於</w:t>
      </w:r>
      <w:r w:rsidR="00BF6BF0" w:rsidRPr="00134B54">
        <w:rPr>
          <w:rFonts w:hint="eastAsia"/>
        </w:rPr>
        <w:t>111</w:t>
      </w:r>
      <w:r w:rsidRPr="00134B54">
        <w:t>年</w:t>
      </w:r>
      <w:r w:rsidR="00C2168B" w:rsidRPr="00134B54">
        <w:rPr>
          <w:rFonts w:hint="eastAsia"/>
        </w:rPr>
        <w:t>消除對婦女一切形式歧視公約（</w:t>
      </w:r>
      <w:r w:rsidR="00BF6BF0" w:rsidRPr="00134B54">
        <w:rPr>
          <w:rFonts w:hint="eastAsia"/>
        </w:rPr>
        <w:t>以下簡稱</w:t>
      </w:r>
      <w:r w:rsidRPr="00134B54">
        <w:t>CEDAW</w:t>
      </w:r>
      <w:r w:rsidR="00C2168B" w:rsidRPr="00134B54">
        <w:rPr>
          <w:rFonts w:hint="eastAsia"/>
        </w:rPr>
        <w:t>）</w:t>
      </w:r>
      <w:r w:rsidRPr="00134B54">
        <w:t>第4次國家報告結論性意見與建議，國際審查委員會關切臺灣的離婚案件高比例採協議離婚途徑，且離婚訴訟中調解的作法被強烈鼓勵，擔憂調解離婚可能使處於權力位階較低的一方(實務上常是女性)妥協或讓步，致使調解離婚結果存在性別不平等效果。</w:t>
      </w:r>
    </w:p>
    <w:p w14:paraId="37C785AF" w14:textId="77777777" w:rsidR="00B3257F" w:rsidRPr="00134B54" w:rsidRDefault="00E744CB" w:rsidP="00502207">
      <w:pPr>
        <w:pStyle w:val="ae"/>
        <w:ind w:left="924"/>
      </w:pPr>
      <w:r w:rsidRPr="00134B54">
        <w:t>民間婦女團體建議，若全國各地皆有專責的少年及家事法院，投注專業人力與資源進行更加細膩的離婚調解程序，或可更妥善落實性別平等的調解程序及調解結果，則可更周延回應CEDAW國際審查委員會的擔憂。</w:t>
      </w:r>
    </w:p>
    <w:p w14:paraId="1A46792E" w14:textId="77777777" w:rsidR="00B3257F" w:rsidRPr="00134B54" w:rsidRDefault="00E744CB" w:rsidP="00502207">
      <w:pPr>
        <w:pStyle w:val="ae"/>
        <w:ind w:left="924"/>
      </w:pPr>
      <w:r w:rsidRPr="00134B54">
        <w:t>經查，司法院應於99年11月19日少年及家事法院組織法三讀通過後之5年內，在北、中、南、東地區各成立1所少年及家事法院。其中，高雄少年及家事法院已於101年6月1日成立，其餘少家院則至今未見具體成立期程。</w:t>
      </w:r>
    </w:p>
    <w:p w14:paraId="28644D4C" w14:textId="42F268E0" w:rsidR="00E744CB" w:rsidRPr="00134B54" w:rsidRDefault="00E744CB" w:rsidP="00502207">
      <w:pPr>
        <w:pStyle w:val="ae"/>
        <w:ind w:left="924"/>
      </w:pPr>
      <w:r w:rsidRPr="00134B54">
        <w:lastRenderedPageBreak/>
        <w:t>爰建請司法院盤點資源並明列北、中、東部少年及家事法院設立規劃，說明目前已完成事項與待完成事項之期程，以利更深入討論我國離婚調解制度之實務執行狀況</w:t>
      </w:r>
      <w:r w:rsidR="00FF26F6" w:rsidRPr="00134B54">
        <w:rPr>
          <w:rFonts w:hint="eastAsia"/>
        </w:rPr>
        <w:t>，並</w:t>
      </w:r>
      <w:r w:rsidRPr="00134B54">
        <w:t>請做成書面報告於</w:t>
      </w:r>
      <w:r w:rsidR="00D324DD" w:rsidRPr="00134B54">
        <w:rPr>
          <w:rFonts w:hint="eastAsia"/>
        </w:rPr>
        <w:t>6</w:t>
      </w:r>
      <w:r w:rsidRPr="00134B54">
        <w:t>個月內提交予立法院司法及法制委員</w:t>
      </w:r>
      <w:r w:rsidR="00620743" w:rsidRPr="00134B54">
        <w:rPr>
          <w:rFonts w:hint="eastAsia"/>
        </w:rPr>
        <w:t>會</w:t>
      </w:r>
      <w:r w:rsidRPr="00134B54">
        <w:t>。【61】</w:t>
      </w:r>
    </w:p>
    <w:p w14:paraId="6ECD90C1" w14:textId="6E3774D6"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提案人：范　雲</w:t>
      </w:r>
    </w:p>
    <w:p w14:paraId="608A34E5" w14:textId="1DE3A74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連署人：沈發惠　莊瑞雄</w:t>
      </w:r>
    </w:p>
    <w:p w14:paraId="0FBC1800" w14:textId="7ADFCA2C" w:rsidR="001B4B51" w:rsidRPr="00134B54" w:rsidRDefault="00E744CB" w:rsidP="00D324DD">
      <w:pPr>
        <w:pStyle w:val="a"/>
        <w:ind w:left="924" w:hanging="567"/>
      </w:pPr>
      <w:r w:rsidRPr="00134B54">
        <w:t>根據</w:t>
      </w:r>
      <w:r w:rsidR="00571425" w:rsidRPr="00134B54">
        <w:rPr>
          <w:rFonts w:hint="eastAsia"/>
        </w:rPr>
        <w:t>111</w:t>
      </w:r>
      <w:r w:rsidR="00571425" w:rsidRPr="00134B54">
        <w:t>年</w:t>
      </w:r>
      <w:r w:rsidR="00571425" w:rsidRPr="00134B54">
        <w:rPr>
          <w:rFonts w:hint="eastAsia"/>
        </w:rPr>
        <w:t>消除對婦女一切形式歧視公約（以下簡稱</w:t>
      </w:r>
      <w:r w:rsidR="00571425" w:rsidRPr="00134B54">
        <w:t>CEDAW</w:t>
      </w:r>
      <w:r w:rsidR="00571425" w:rsidRPr="00134B54">
        <w:rPr>
          <w:rFonts w:hint="eastAsia"/>
        </w:rPr>
        <w:t>）</w:t>
      </w:r>
      <w:r w:rsidRPr="00134B54">
        <w:t>第4次國家報告結論性意見與建議，國際審查委員會關切臺灣的法規鼓勵離婚案件調解先行。委員會擔憂，調解離婚可能使涉及家暴的案件中處於權力位階較低的一方（實務上常是女性）妥協或讓步，致使離婚結果存在性別不平等效果。</w:t>
      </w:r>
    </w:p>
    <w:p w14:paraId="730549DC" w14:textId="77777777" w:rsidR="001B4B51" w:rsidRPr="00134B54" w:rsidRDefault="00E744CB" w:rsidP="00D324DD">
      <w:pPr>
        <w:pStyle w:val="ae"/>
        <w:ind w:left="924"/>
      </w:pPr>
      <w:r w:rsidRPr="00134B54">
        <w:t>經查，司法院曾於第4次國家報告結論性意見與建議行動回應表中指出，家事調解委員皆有接受專業核心能力課程訓練，內容包括家庭暴力處理、家庭動力與衝突處理、社會正義與弱勢保護等。此外，家庭暴力防治法第47條規定，法院於訴訟或調解程序中如認為有家庭暴力之情事時，不得進行和解或調解。但，行和解或調解之人曾受家庭暴力防治之訓練並以確保被害人安全之方式進行和解或調解等情形者，則不在此限。符合此但書規定時，將指定曾受家庭暴力防治訓練之家事調解委員進行調解。然僅宣稱「家事調解委員有能力進行公正調解」而缺乏實證，恐難以周延回應委員會的疑慮。</w:t>
      </w:r>
    </w:p>
    <w:p w14:paraId="41956061" w14:textId="1B57BA6F" w:rsidR="00E744CB" w:rsidRPr="00134B54" w:rsidRDefault="00E744CB" w:rsidP="00D324DD">
      <w:pPr>
        <w:pStyle w:val="ae"/>
        <w:ind w:left="924"/>
      </w:pPr>
      <w:r w:rsidRPr="00134B54">
        <w:t>為更周延回應CEDAW國際審查委員會之擔憂，爰建請司法院研議是否建置並追蹤相關指標，以利掌握我國調解離婚之執行狀況，指標包含但不限於：</w:t>
      </w:r>
      <w:r w:rsidR="00D6292E" w:rsidRPr="00134B54">
        <w:rPr>
          <w:rFonts w:hint="eastAsia"/>
        </w:rPr>
        <w:t>1.</w:t>
      </w:r>
      <w:r w:rsidRPr="00134B54">
        <w:t>家事調解委員受性平意識培訓成效。</w:t>
      </w:r>
      <w:r w:rsidR="00D6292E" w:rsidRPr="00134B54">
        <w:rPr>
          <w:rFonts w:hint="eastAsia"/>
        </w:rPr>
        <w:t>2.</w:t>
      </w:r>
      <w:r w:rsidRPr="00134B54">
        <w:t>家事調解委員受年度評鑑狀況。</w:t>
      </w:r>
      <w:r w:rsidR="00D6292E" w:rsidRPr="00134B54">
        <w:rPr>
          <w:rFonts w:hint="eastAsia"/>
        </w:rPr>
        <w:t>3.</w:t>
      </w:r>
      <w:r w:rsidRPr="00134B54">
        <w:t>家事調解委員被陳情之次數、內容與結果。</w:t>
      </w:r>
      <w:r w:rsidR="00D6292E" w:rsidRPr="00134B54">
        <w:rPr>
          <w:rFonts w:hint="eastAsia"/>
        </w:rPr>
        <w:t>4.</w:t>
      </w:r>
      <w:r w:rsidRPr="00134B54">
        <w:t>涉及家暴案件採調解途徑比例之統計。</w:t>
      </w:r>
      <w:r w:rsidR="00D6292E" w:rsidRPr="00134B54">
        <w:rPr>
          <w:rFonts w:hint="eastAsia"/>
        </w:rPr>
        <w:t>5.</w:t>
      </w:r>
      <w:r w:rsidRPr="00134B54">
        <w:t>涉及家暴案件採調解離婚途徑的執行效果統計，如扶養費、親權、財產權的分配結果等。</w:t>
      </w:r>
      <w:r w:rsidR="007C07F9" w:rsidRPr="00134B54">
        <w:rPr>
          <w:rFonts w:hint="eastAsia"/>
        </w:rPr>
        <w:t>並</w:t>
      </w:r>
      <w:r w:rsidRPr="00134B54">
        <w:t>請於2個月內向立法院司法及法制委員會提交</w:t>
      </w:r>
      <w:r w:rsidR="001D1A1E" w:rsidRPr="00134B54">
        <w:rPr>
          <w:rFonts w:hint="eastAsia"/>
        </w:rPr>
        <w:t>書面</w:t>
      </w:r>
      <w:r w:rsidRPr="00134B54">
        <w:t>報告。【62】</w:t>
      </w:r>
    </w:p>
    <w:p w14:paraId="52440523" w14:textId="67DCE97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提案人：范　雲</w:t>
      </w:r>
    </w:p>
    <w:p w14:paraId="20F55CFD" w14:textId="2BAE11F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連署人：沈發惠　莊瑞雄</w:t>
      </w:r>
    </w:p>
    <w:p w14:paraId="15D169F3" w14:textId="4AB23AAC" w:rsidR="00156D16" w:rsidRPr="00134B54" w:rsidRDefault="00E744CB" w:rsidP="00A07790">
      <w:pPr>
        <w:pStyle w:val="a"/>
        <w:ind w:left="924" w:hanging="567"/>
      </w:pPr>
      <w:r w:rsidRPr="00134B54">
        <w:t>有</w:t>
      </w:r>
      <w:r w:rsidR="007C07F9" w:rsidRPr="00134B54">
        <w:rPr>
          <w:rFonts w:hint="eastAsia"/>
        </w:rPr>
        <w:t>鑑</w:t>
      </w:r>
      <w:r w:rsidRPr="00134B54">
        <w:t>於司法院為緩解司法過勞，積極推動 AI 輔助撰寫判決書草案及再犯風險評估工具。然查，民間專家學者多次指陳，司法審判涉及人民之生命與自由，具備高度法律敏感性。若 AI 訓練數據存有歷史性偏見，恐產生「自動化偏見」並導致審判黑箱化；且 AI 模型可能產生「幻覺」而編造虛假事實或法源，若法官因追求效率而過度依賴，將使科技取代裁判者之心證判</w:t>
      </w:r>
      <w:r w:rsidRPr="00134B54">
        <w:lastRenderedPageBreak/>
        <w:t>斷，嚴重侵蝕司法公信力。</w:t>
      </w:r>
    </w:p>
    <w:p w14:paraId="59035A80" w14:textId="77777777" w:rsidR="00156D16" w:rsidRPr="00134B54" w:rsidRDefault="00E744CB" w:rsidP="00A07790">
      <w:pPr>
        <w:pStyle w:val="ae"/>
        <w:ind w:left="924"/>
      </w:pPr>
      <w:r w:rsidRPr="00134B54">
        <w:t>尤有甚者，行為經濟學研究警示，人類對科技常具備無意識的「科技效應」樂觀偏見，易產生對電腦判斷盲目信任之「自動化偏誤」。參考美國 COMPAS 系統之爭議，若司法 AI 系統設計不佳或預測有誤，恐導致裁判者提供不適配的處遇，或因不信任系統而棄之不用，導致司法效率未獲提升，甚至使法官在無意識中棄守獨立思考能力，將本應參考之數據奉為法規圭臬。</w:t>
      </w:r>
    </w:p>
    <w:p w14:paraId="4FF53815" w14:textId="210881C8" w:rsidR="00E744CB" w:rsidRPr="00134B54" w:rsidRDefault="00E744CB" w:rsidP="00A07790">
      <w:pPr>
        <w:pStyle w:val="ae"/>
        <w:ind w:left="924"/>
      </w:pPr>
      <w:r w:rsidRPr="00134B54">
        <w:t>爰要求司法院應針對「司法 AI 應用之監管、倫理及核查機制」向</w:t>
      </w:r>
      <w:r w:rsidR="00836F31" w:rsidRPr="00134B54">
        <w:rPr>
          <w:rFonts w:hint="eastAsia"/>
        </w:rPr>
        <w:t>立法</w:t>
      </w:r>
      <w:r w:rsidRPr="00134B54">
        <w:t>院司法及法制委員會提出</w:t>
      </w:r>
      <w:r w:rsidR="00D73609" w:rsidRPr="00134B54">
        <w:rPr>
          <w:rFonts w:hint="eastAsia"/>
        </w:rPr>
        <w:t>書面</w:t>
      </w:r>
      <w:r w:rsidRPr="00134B54">
        <w:t>報告。報告內容應包含：建立 AI 產出內容之正確性覆核流程、劃定 AI 不得介入心證裁量之法律紅線</w:t>
      </w:r>
      <w:r w:rsidR="00836F31" w:rsidRPr="00134B54">
        <w:rPr>
          <w:rFonts w:hint="eastAsia"/>
        </w:rPr>
        <w:t>等</w:t>
      </w:r>
      <w:r w:rsidRPr="00134B54">
        <w:t>，並針對演算法進行定期公平性審計與防範 AI 幻覺之配套措施，以落實科技司法之責任化、透明化與公正性。【63】</w:t>
      </w:r>
    </w:p>
    <w:p w14:paraId="662D0D90" w14:textId="432134E3" w:rsidR="001A1B48" w:rsidRPr="00134B54" w:rsidRDefault="00E744CB" w:rsidP="00E744CB">
      <w:pPr>
        <w:snapToGrid w:val="0"/>
        <w:ind w:leftChars="1500" w:left="4692" w:hangingChars="420" w:hanging="1092"/>
        <w:jc w:val="both"/>
        <w:rPr>
          <w:rFonts w:ascii="標楷體" w:eastAsia="標楷體" w:hAnsi="標楷體"/>
          <w:color w:val="000000"/>
          <w:spacing w:val="-10"/>
          <w:sz w:val="28"/>
          <w:szCs w:val="28"/>
        </w:rPr>
      </w:pPr>
      <w:r w:rsidRPr="00134B54">
        <w:rPr>
          <w:rFonts w:ascii="標楷體" w:eastAsia="標楷體" w:hAnsi="標楷體"/>
          <w:color w:val="000000"/>
          <w:spacing w:val="-10"/>
          <w:sz w:val="28"/>
          <w:szCs w:val="28"/>
        </w:rPr>
        <w:t>提案人：</w:t>
      </w:r>
      <w:r w:rsidRPr="00865F65">
        <w:rPr>
          <w:rFonts w:ascii="標楷體" w:eastAsia="標楷體" w:hAnsi="標楷體"/>
          <w:color w:val="000000"/>
          <w:spacing w:val="-14"/>
          <w:sz w:val="28"/>
          <w:szCs w:val="28"/>
        </w:rPr>
        <w:t xml:space="preserve">陳昭姿　翁曉玲　林沛祥　</w:t>
      </w:r>
      <w:r w:rsidR="00BE4E3E" w:rsidRPr="00865F65">
        <w:rPr>
          <w:rFonts w:ascii="標楷體" w:eastAsia="標楷體" w:hAnsi="標楷體"/>
          <w:color w:val="000000"/>
          <w:spacing w:val="-14"/>
          <w:sz w:val="28"/>
          <w:szCs w:val="28"/>
        </w:rPr>
        <w:t>劉書彬</w:t>
      </w:r>
    </w:p>
    <w:p w14:paraId="1361383D" w14:textId="7C3FCED5" w:rsidR="00E744CB" w:rsidRPr="00134B54" w:rsidRDefault="00E744CB" w:rsidP="00BE4E3E">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第2項 最高法院5億8,065萬4千元，照列。</w:t>
      </w:r>
    </w:p>
    <w:p w14:paraId="47F8956E" w14:textId="04D2CECD"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第3項 最高行政法院1億7,166萬5千元，照列。</w:t>
      </w:r>
    </w:p>
    <w:p w14:paraId="26543F67" w14:textId="709FAB62"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第4項 臺北高等行政法院4億9,198萬8千元，照列。</w:t>
      </w:r>
    </w:p>
    <w:p w14:paraId="387EB674" w14:textId="226653E5"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第5項 臺中高等行政法院1億8,459萬6千元，照列。</w:t>
      </w:r>
    </w:p>
    <w:p w14:paraId="4AAD37A8" w14:textId="28A043A5"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第6項 高雄高等行政法院2億4,120萬8千元，照列。</w:t>
      </w:r>
    </w:p>
    <w:p w14:paraId="274FCE76" w14:textId="7329313B"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第7項 懲戒法院1億2,070萬2千元，照列。</w:t>
      </w:r>
    </w:p>
    <w:p w14:paraId="0E52A4DD" w14:textId="67BA2544"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第8項 法官學院1億9,764萬3千元，照列。</w:t>
      </w:r>
    </w:p>
    <w:p w14:paraId="2E6C3731" w14:textId="06A20184"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B40C13"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1E65A7A3" w14:textId="77777777" w:rsidR="00F42490" w:rsidRPr="00134B54" w:rsidRDefault="00E744CB" w:rsidP="00BF5B2C">
      <w:pPr>
        <w:pStyle w:val="a4"/>
        <w:numPr>
          <w:ilvl w:val="0"/>
          <w:numId w:val="2"/>
        </w:numPr>
        <w:snapToGrid w:val="0"/>
        <w:spacing w:line="380" w:lineRule="exact"/>
        <w:ind w:leftChars="163" w:left="951"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法官學院預算案於第2目「研習業務」項下「辦理研習業務」編列預算5,223萬8千元。主要配合司法院推動新制，規劃專業法律課程，並辦理專業法庭在職進修，視時事需要增列課程，以應審理涉及法律以外專業性案件之需求，並安排各界專業人士講授與司法密切相關之多元化課程。其中亦包含原住民族人權保障相關研習。惟有關課程內容是否能於文化理解層面有所深化，使國家法律與原住民族傳統在體系內實現共存共榮，尚待檢視其實際成效。</w:t>
      </w:r>
    </w:p>
    <w:p w14:paraId="13C420FE" w14:textId="65902AF6" w:rsidR="00E744CB" w:rsidRPr="00134B54" w:rsidRDefault="00DE1C47" w:rsidP="00F42490">
      <w:pPr>
        <w:pStyle w:val="ae"/>
        <w:ind w:left="924"/>
      </w:pPr>
      <w:r w:rsidRPr="00134B54">
        <w:rPr>
          <w:rFonts w:hint="eastAsia"/>
        </w:rPr>
        <w:t>請</w:t>
      </w:r>
      <w:r w:rsidR="00E744CB" w:rsidRPr="00134B54">
        <w:t>法官學院於2個月內向立法院司法及法制委員會提出</w:t>
      </w:r>
      <w:r w:rsidRPr="00134B54">
        <w:rPr>
          <w:rFonts w:hint="eastAsia"/>
        </w:rPr>
        <w:t>書面</w:t>
      </w:r>
      <w:r w:rsidR="00E744CB" w:rsidRPr="00134B54">
        <w:t>報告，詳列</w:t>
      </w:r>
      <w:r w:rsidR="001A024C" w:rsidRPr="00134B54">
        <w:rPr>
          <w:rFonts w:hint="eastAsia"/>
        </w:rPr>
        <w:t>所有</w:t>
      </w:r>
      <w:r w:rsidR="00E744CB" w:rsidRPr="00134B54">
        <w:t>在原住民族相關研習課程之規劃內容、實際執行情形及成果。【64】</w:t>
      </w:r>
    </w:p>
    <w:p w14:paraId="08CF0B7A" w14:textId="0C3334C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237D85AD" w14:textId="77C24D4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741B44BA" w14:textId="4AA0BB18"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第9項 智慧財產及商業法院3億1,921萬元，照列。</w:t>
      </w:r>
    </w:p>
    <w:p w14:paraId="13365546" w14:textId="0122E316"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第10項 臺灣高等法院20億7,583萬5千元，照列。</w:t>
      </w:r>
    </w:p>
    <w:p w14:paraId="38803334" w14:textId="49B1922D"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lastRenderedPageBreak/>
        <w:t>本項通過決議</w:t>
      </w:r>
      <w:r w:rsidR="00686F5D"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2A68AAB5" w14:textId="4827199E" w:rsidR="006D5B5D" w:rsidRPr="00134B54" w:rsidRDefault="00E744CB" w:rsidP="00BF5B2C">
      <w:pPr>
        <w:pStyle w:val="a4"/>
        <w:numPr>
          <w:ilvl w:val="0"/>
          <w:numId w:val="15"/>
        </w:numPr>
        <w:snapToGrid w:val="0"/>
        <w:spacing w:line="380" w:lineRule="exact"/>
        <w:ind w:leftChars="0" w:left="924" w:hanging="567"/>
        <w:jc w:val="both"/>
        <w:rPr>
          <w:rFonts w:ascii="標楷體" w:eastAsia="標楷體" w:hAnsi="標楷體"/>
          <w:color w:val="000000"/>
          <w:sz w:val="28"/>
          <w:szCs w:val="28"/>
        </w:rPr>
      </w:pPr>
      <w:r w:rsidRPr="00134B54">
        <w:rPr>
          <w:rFonts w:ascii="標楷體" w:eastAsia="標楷體" w:hAnsi="標楷體"/>
          <w:color w:val="000000"/>
          <w:sz w:val="28"/>
          <w:szCs w:val="28"/>
        </w:rPr>
        <w:t>115年度臺灣高等法院預算案於第4目「司法機關擴遷建計畫」項下「擴遷建辦公廳舍計畫」</w:t>
      </w:r>
      <w:r w:rsidR="00FD14DA" w:rsidRPr="00134B54">
        <w:rPr>
          <w:rFonts w:ascii="標楷體" w:eastAsia="標楷體" w:hAnsi="標楷體" w:hint="eastAsia"/>
          <w:color w:val="000000"/>
          <w:sz w:val="28"/>
          <w:szCs w:val="28"/>
        </w:rPr>
        <w:t>中「新建</w:t>
      </w:r>
      <w:r w:rsidRPr="00134B54">
        <w:rPr>
          <w:rFonts w:ascii="標楷體" w:eastAsia="標楷體" w:hAnsi="標楷體"/>
          <w:color w:val="000000"/>
          <w:sz w:val="28"/>
          <w:szCs w:val="28"/>
        </w:rPr>
        <w:t>聯合檔案暨贓證物庫大樓新興房屋建築計畫</w:t>
      </w:r>
      <w:r w:rsidR="00FD14DA" w:rsidRPr="00134B54">
        <w:rPr>
          <w:rFonts w:ascii="標楷體" w:eastAsia="標楷體" w:hAnsi="標楷體" w:hint="eastAsia"/>
          <w:color w:val="000000"/>
          <w:sz w:val="28"/>
          <w:szCs w:val="28"/>
        </w:rPr>
        <w:t>」</w:t>
      </w:r>
      <w:r w:rsidRPr="00134B54">
        <w:rPr>
          <w:rFonts w:ascii="標楷體" w:eastAsia="標楷體" w:hAnsi="標楷體"/>
          <w:color w:val="000000"/>
          <w:sz w:val="28"/>
          <w:szCs w:val="28"/>
        </w:rPr>
        <w:t>編列預算2,844萬4千元。</w:t>
      </w:r>
    </w:p>
    <w:p w14:paraId="4B1E5821" w14:textId="72E0E493" w:rsidR="006D5B5D" w:rsidRPr="00134B54" w:rsidRDefault="00E744CB" w:rsidP="008138D0">
      <w:pPr>
        <w:pStyle w:val="ae"/>
        <w:ind w:left="924"/>
      </w:pPr>
      <w:r w:rsidRPr="00134B54">
        <w:t>查臺灣高等法院新建聯合檔案暨贓證物庫大樓新興房屋建築計畫總經費8</w:t>
      </w:r>
      <w:r w:rsidR="0097629E" w:rsidRPr="00134B54">
        <w:rPr>
          <w:rFonts w:hint="eastAsia"/>
        </w:rPr>
        <w:t>億</w:t>
      </w:r>
      <w:r w:rsidRPr="00134B54">
        <w:t>7</w:t>
      </w:r>
      <w:r w:rsidR="0097629E" w:rsidRPr="00134B54">
        <w:t>,</w:t>
      </w:r>
      <w:r w:rsidRPr="00134B54">
        <w:t>678</w:t>
      </w:r>
      <w:r w:rsidR="0097629E" w:rsidRPr="00134B54">
        <w:rPr>
          <w:rFonts w:hint="eastAsia"/>
        </w:rPr>
        <w:t>萬</w:t>
      </w:r>
      <w:r w:rsidRPr="00134B54">
        <w:t>5千元，分12年辦理，</w:t>
      </w:r>
      <w:r w:rsidR="0097629E" w:rsidRPr="00134B54">
        <w:rPr>
          <w:rFonts w:hint="eastAsia"/>
        </w:rPr>
        <w:t>115</w:t>
      </w:r>
      <w:r w:rsidRPr="00134B54">
        <w:t>年度續編最後1年經費2</w:t>
      </w:r>
      <w:r w:rsidR="0097629E" w:rsidRPr="00134B54">
        <w:t>,</w:t>
      </w:r>
      <w:r w:rsidRPr="00134B54">
        <w:t>844</w:t>
      </w:r>
      <w:r w:rsidR="0097629E" w:rsidRPr="00134B54">
        <w:rPr>
          <w:rFonts w:hint="eastAsia"/>
        </w:rPr>
        <w:t>萬</w:t>
      </w:r>
      <w:r w:rsidRPr="00134B54">
        <w:t>4千元，預計115至116 年間竣工驗收，並於117年前完成遷入。</w:t>
      </w:r>
    </w:p>
    <w:p w14:paraId="41B05636" w14:textId="067F4433" w:rsidR="00E744CB" w:rsidRPr="00134B54" w:rsidRDefault="00E744CB" w:rsidP="006D5B5D">
      <w:pPr>
        <w:pStyle w:val="ae"/>
        <w:ind w:left="924"/>
      </w:pPr>
      <w:r w:rsidRPr="00134B54">
        <w:t>根據</w:t>
      </w:r>
      <w:r w:rsidR="0097629E" w:rsidRPr="00134B54">
        <w:rPr>
          <w:rFonts w:hint="eastAsia"/>
        </w:rPr>
        <w:t>立法院</w:t>
      </w:r>
      <w:r w:rsidRPr="00134B54">
        <w:t>預算中心調查，司法機關擴遷建計畫執行率時有偏低情事，司法院應積極監督，避免因趕工導致工程瑕疵。又，</w:t>
      </w:r>
      <w:r w:rsidR="00AD7BC0" w:rsidRPr="00134B54">
        <w:rPr>
          <w:rFonts w:hint="eastAsia"/>
        </w:rPr>
        <w:t>新建</w:t>
      </w:r>
      <w:r w:rsidRPr="00134B54">
        <w:t>聯合檔案暨贓證物庫大樓新興</w:t>
      </w:r>
      <w:r w:rsidR="00AD7BC0" w:rsidRPr="00134B54">
        <w:rPr>
          <w:rFonts w:hint="eastAsia"/>
        </w:rPr>
        <w:t>房屋建築計畫</w:t>
      </w:r>
      <w:r w:rsidRPr="00134B54">
        <w:t>不僅是單純的硬體建築，更涉及大量司法卷證、證物搬遷的安全與數位化管理轉型。司法院及臺灣高等法院</w:t>
      </w:r>
      <w:r w:rsidR="00B04B31" w:rsidRPr="00134B54">
        <w:rPr>
          <w:rFonts w:hint="eastAsia"/>
        </w:rPr>
        <w:t>請</w:t>
      </w:r>
      <w:r w:rsidRPr="00134B54">
        <w:t>提前規</w:t>
      </w:r>
      <w:r w:rsidR="00ED32F4" w:rsidRPr="00134B54">
        <w:rPr>
          <w:rFonts w:hint="eastAsia"/>
        </w:rPr>
        <w:t>劃</w:t>
      </w:r>
      <w:r w:rsidRPr="00134B54">
        <w:t>後續搬遷及管理事宜，制定標準作業程序（SOP）、檔案庫房的數位化與檢索效能、清理已無需搬遷之資料等。【65】</w:t>
      </w:r>
    </w:p>
    <w:p w14:paraId="43B6D276" w14:textId="5191800D"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55EA64FD" w14:textId="226BD24B"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連署人：許宇甄　陳昭姿</w:t>
      </w:r>
    </w:p>
    <w:p w14:paraId="1D6F5C84" w14:textId="060E5242"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第11項 臺灣高等法院臺中分院8億4,583萬4千元，照列。</w:t>
      </w:r>
    </w:p>
    <w:p w14:paraId="6E766CD7" w14:textId="6A14947B"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第12項 臺灣高等法院臺南分院15億7,867萬3千元，照列。</w:t>
      </w:r>
    </w:p>
    <w:p w14:paraId="3291216E" w14:textId="44ADB794"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第13項 臺灣高等法院高雄分院6億8,790萬4千元，照列。</w:t>
      </w:r>
    </w:p>
    <w:p w14:paraId="576892CA" w14:textId="235DDFF5"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第14項 臺灣高等法院花蓮分院2億1,058萬2千元，照列。</w:t>
      </w:r>
    </w:p>
    <w:p w14:paraId="3F0FA90C" w14:textId="0A886889" w:rsidR="00E744CB" w:rsidRPr="00134B54" w:rsidRDefault="00E744CB" w:rsidP="00F47F44">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第15項 臺灣臺北地方法院24億0,342萬8千元，照列。</w:t>
      </w:r>
    </w:p>
    <w:p w14:paraId="53377DF1" w14:textId="755F49FB"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F47F44"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6E65C0FD" w14:textId="692108F3" w:rsidR="00E744CB" w:rsidRPr="00134B54" w:rsidRDefault="00E744CB" w:rsidP="00BF5B2C">
      <w:pPr>
        <w:pStyle w:val="a4"/>
        <w:numPr>
          <w:ilvl w:val="0"/>
          <w:numId w:val="3"/>
        </w:numPr>
        <w:snapToGrid w:val="0"/>
        <w:ind w:leftChars="178" w:left="987" w:hangingChars="200" w:hanging="560"/>
        <w:jc w:val="both"/>
        <w:rPr>
          <w:rFonts w:ascii="標楷體" w:eastAsia="標楷體" w:hAnsi="標楷體"/>
          <w:sz w:val="28"/>
          <w:szCs w:val="28"/>
        </w:rPr>
      </w:pPr>
      <w:r w:rsidRPr="00134B54">
        <w:rPr>
          <w:rFonts w:ascii="標楷體" w:eastAsia="標楷體" w:hAnsi="標楷體"/>
          <w:sz w:val="28"/>
          <w:szCs w:val="28"/>
        </w:rPr>
        <w:t>115年度臺灣臺北地方法院歲出預算第3目「司法機關擴遷建計畫」編列 2億7,000萬</w:t>
      </w:r>
      <w:r w:rsidR="00F47F44" w:rsidRPr="00134B54">
        <w:rPr>
          <w:rFonts w:ascii="標楷體" w:eastAsia="標楷體" w:hAnsi="標楷體" w:hint="eastAsia"/>
          <w:sz w:val="28"/>
          <w:szCs w:val="28"/>
        </w:rPr>
        <w:t>元</w:t>
      </w:r>
      <w:r w:rsidRPr="00134B54">
        <w:rPr>
          <w:rFonts w:ascii="標楷體" w:eastAsia="標楷體" w:hAnsi="標楷體"/>
          <w:sz w:val="28"/>
          <w:szCs w:val="28"/>
        </w:rPr>
        <w:t>，凍結</w:t>
      </w:r>
      <w:r w:rsidR="00F47F44" w:rsidRPr="00134B54">
        <w:rPr>
          <w:rFonts w:ascii="標楷體" w:eastAsia="標楷體" w:hAnsi="標楷體" w:hint="eastAsia"/>
          <w:sz w:val="28"/>
          <w:szCs w:val="28"/>
        </w:rPr>
        <w:t>8</w:t>
      </w:r>
      <w:r w:rsidR="00F47F44" w:rsidRPr="00134B54">
        <w:rPr>
          <w:rFonts w:ascii="標楷體" w:eastAsia="標楷體" w:hAnsi="標楷體"/>
          <w:sz w:val="28"/>
          <w:szCs w:val="28"/>
        </w:rPr>
        <w:t>,</w:t>
      </w:r>
      <w:r w:rsidR="00F47F44" w:rsidRPr="00134B54">
        <w:rPr>
          <w:rFonts w:ascii="標楷體" w:eastAsia="標楷體" w:hAnsi="標楷體" w:hint="eastAsia"/>
          <w:sz w:val="28"/>
          <w:szCs w:val="28"/>
        </w:rPr>
        <w:t>100</w:t>
      </w:r>
      <w:r w:rsidRPr="00134B54">
        <w:rPr>
          <w:rFonts w:ascii="標楷體" w:eastAsia="標楷體" w:hAnsi="標楷體"/>
          <w:sz w:val="28"/>
          <w:szCs w:val="28"/>
        </w:rPr>
        <w:t>萬元，俟向立法院司法及法制委員會提出書面報告後，始得動支。</w:t>
      </w:r>
      <w:r w:rsidR="00F47F44" w:rsidRPr="00134B54">
        <w:rPr>
          <w:rFonts w:ascii="標楷體" w:eastAsia="標楷體" w:hAnsi="標楷體"/>
          <w:sz w:val="28"/>
          <w:szCs w:val="28"/>
        </w:rPr>
        <w:t>【66】</w:t>
      </w:r>
    </w:p>
    <w:p w14:paraId="0B488DDC" w14:textId="77777777" w:rsidR="00F47F44" w:rsidRPr="00134B54" w:rsidRDefault="00F47F44" w:rsidP="00F47F44">
      <w:pPr>
        <w:snapToGrid w:val="0"/>
        <w:ind w:leftChars="1500" w:left="4776" w:hangingChars="420" w:hanging="1176"/>
        <w:jc w:val="both"/>
        <w:rPr>
          <w:rFonts w:ascii="標楷體" w:eastAsia="標楷體" w:hAnsi="標楷體"/>
          <w:sz w:val="28"/>
          <w:szCs w:val="28"/>
        </w:rPr>
      </w:pPr>
      <w:r w:rsidRPr="00134B54">
        <w:rPr>
          <w:rFonts w:ascii="標楷體" w:eastAsia="標楷體" w:hAnsi="標楷體"/>
          <w:sz w:val="28"/>
          <w:szCs w:val="28"/>
        </w:rPr>
        <w:t>提案人：翁曉玲</w:t>
      </w:r>
    </w:p>
    <w:p w14:paraId="7976F76D" w14:textId="77777777" w:rsidR="00F47F44" w:rsidRPr="00134B54" w:rsidRDefault="00F47F44" w:rsidP="00F47F44">
      <w:pPr>
        <w:snapToGrid w:val="0"/>
        <w:ind w:leftChars="1500" w:left="4776" w:hangingChars="420" w:hanging="1176"/>
        <w:jc w:val="both"/>
        <w:rPr>
          <w:rFonts w:ascii="標楷體" w:eastAsia="標楷體" w:hAnsi="標楷體"/>
          <w:sz w:val="28"/>
          <w:szCs w:val="28"/>
        </w:rPr>
      </w:pPr>
      <w:r w:rsidRPr="00134B54">
        <w:rPr>
          <w:rFonts w:ascii="標楷體" w:eastAsia="標楷體" w:hAnsi="標楷體"/>
          <w:sz w:val="28"/>
          <w:szCs w:val="28"/>
        </w:rPr>
        <w:t>連署人：許宇甄　陳昭姿</w:t>
      </w:r>
    </w:p>
    <w:p w14:paraId="62AFEE50" w14:textId="592769EB"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第16項 臺灣士林地方法院11億2,768萬9千元，照列。</w:t>
      </w:r>
    </w:p>
    <w:p w14:paraId="58174379" w14:textId="620D31EB"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第17項 臺灣新北地方法院38億9,340萬1千元，照列。</w:t>
      </w:r>
    </w:p>
    <w:p w14:paraId="1603A379" w14:textId="606E8C09"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D81FB1" w:rsidRPr="00134B54">
        <w:rPr>
          <w:rFonts w:ascii="標楷體" w:eastAsia="標楷體" w:hAnsi="標楷體" w:hint="eastAsia"/>
          <w:b/>
          <w:bCs/>
          <w:sz w:val="28"/>
          <w:szCs w:val="28"/>
        </w:rPr>
        <w:t>2</w:t>
      </w:r>
      <w:r w:rsidRPr="00134B54">
        <w:rPr>
          <w:rFonts w:ascii="標楷體" w:eastAsia="標楷體" w:hAnsi="標楷體"/>
          <w:b/>
          <w:bCs/>
          <w:sz w:val="28"/>
          <w:szCs w:val="28"/>
        </w:rPr>
        <w:t>項：</w:t>
      </w:r>
    </w:p>
    <w:p w14:paraId="1393826A" w14:textId="77777777" w:rsidR="00FD6F21" w:rsidRPr="00134B54" w:rsidRDefault="00E744CB" w:rsidP="00BF5B2C">
      <w:pPr>
        <w:pStyle w:val="a4"/>
        <w:numPr>
          <w:ilvl w:val="0"/>
          <w:numId w:val="16"/>
        </w:numPr>
        <w:snapToGrid w:val="0"/>
        <w:spacing w:line="380" w:lineRule="exact"/>
        <w:ind w:leftChars="0" w:left="924" w:hanging="567"/>
        <w:jc w:val="both"/>
        <w:rPr>
          <w:rFonts w:ascii="標楷體" w:eastAsia="標楷體" w:hAnsi="標楷體"/>
          <w:color w:val="000000"/>
          <w:sz w:val="28"/>
          <w:szCs w:val="28"/>
        </w:rPr>
      </w:pPr>
      <w:r w:rsidRPr="00134B54">
        <w:rPr>
          <w:rFonts w:ascii="標楷體" w:eastAsia="標楷體" w:hAnsi="標楷體"/>
          <w:color w:val="000000"/>
          <w:sz w:val="28"/>
          <w:szCs w:val="28"/>
        </w:rPr>
        <w:t>115年度臺灣新北地方法院預算案於第2目「審判業務」編列預算1億9,594萬6千元。惟原住民族於司法程序中享有使用其語言之權利，然實際運作情形未臻完善。新北地院轄區涵蓋之烏來區為原住民族地區，涉及原住民族案件比例不容忽視，司法程序中落實原住民族語言權益，尤為重要。監察委員王美玉113年調查報告指出，我國原住民族共16族語、42種方言，</w:t>
      </w:r>
      <w:r w:rsidRPr="00134B54">
        <w:rPr>
          <w:rFonts w:ascii="標楷體" w:eastAsia="標楷體" w:hAnsi="標楷體"/>
          <w:color w:val="000000"/>
          <w:sz w:val="28"/>
          <w:szCs w:val="28"/>
        </w:rPr>
        <w:lastRenderedPageBreak/>
        <w:t>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06162D47" w14:textId="1317F2C2" w:rsidR="00E744CB" w:rsidRPr="00134B54" w:rsidRDefault="00E744CB" w:rsidP="00FD6F21">
      <w:pPr>
        <w:pStyle w:val="ae"/>
        <w:ind w:left="924"/>
      </w:pPr>
      <w:r w:rsidRPr="00134B54">
        <w:t>爰</w:t>
      </w:r>
      <w:r w:rsidR="00732153" w:rsidRPr="00134B54">
        <w:rPr>
          <w:rFonts w:hint="eastAsia"/>
        </w:rPr>
        <w:t>請</w:t>
      </w:r>
      <w:r w:rsidRPr="00134B54">
        <w:t>臺灣新北地方法院於2個月內向立法院司法及法制委員會提出</w:t>
      </w:r>
      <w:r w:rsidR="00732153" w:rsidRPr="00134B54">
        <w:rPr>
          <w:rFonts w:hint="eastAsia"/>
        </w:rPr>
        <w:t>書面</w:t>
      </w:r>
      <w:r w:rsidRPr="00134B54">
        <w:t>報告。【67】</w:t>
      </w:r>
    </w:p>
    <w:p w14:paraId="35F89A5C" w14:textId="4181B82C"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28834FAB" w14:textId="5F4B8E03"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716FC14A" w14:textId="0FA564F2" w:rsidR="006B76A7" w:rsidRPr="00134B54" w:rsidRDefault="00E744CB" w:rsidP="00BF5B2C">
      <w:pPr>
        <w:pStyle w:val="a4"/>
        <w:numPr>
          <w:ilvl w:val="0"/>
          <w:numId w:val="16"/>
        </w:numPr>
        <w:snapToGrid w:val="0"/>
        <w:spacing w:line="380" w:lineRule="exact"/>
        <w:ind w:leftChars="0" w:left="924" w:hanging="567"/>
        <w:jc w:val="both"/>
        <w:rPr>
          <w:rFonts w:ascii="標楷體" w:eastAsia="標楷體" w:hAnsi="標楷體"/>
          <w:color w:val="000000"/>
          <w:sz w:val="28"/>
          <w:szCs w:val="28"/>
        </w:rPr>
      </w:pPr>
      <w:r w:rsidRPr="00134B54">
        <w:rPr>
          <w:rFonts w:ascii="標楷體" w:eastAsia="標楷體" w:hAnsi="標楷體"/>
          <w:color w:val="000000"/>
          <w:sz w:val="28"/>
          <w:szCs w:val="28"/>
        </w:rPr>
        <w:t>115年度臺灣新北地方法院預算案於第3目「司法機關擴遷建計畫」項下「擴遷建辦公廳舍計畫」</w:t>
      </w:r>
      <w:r w:rsidR="00B12E3A" w:rsidRPr="00134B54">
        <w:rPr>
          <w:rFonts w:ascii="標楷體" w:eastAsia="標楷體" w:hAnsi="標楷體" w:hint="eastAsia"/>
          <w:color w:val="000000"/>
          <w:sz w:val="28"/>
          <w:szCs w:val="28"/>
        </w:rPr>
        <w:t>中「遷建</w:t>
      </w:r>
      <w:r w:rsidRPr="00134B54">
        <w:rPr>
          <w:rFonts w:ascii="標楷體" w:eastAsia="標楷體" w:hAnsi="標楷體"/>
          <w:color w:val="000000"/>
          <w:sz w:val="28"/>
          <w:szCs w:val="28"/>
        </w:rPr>
        <w:t>土城司法園區購地計畫</w:t>
      </w:r>
      <w:r w:rsidR="00B12E3A" w:rsidRPr="00134B54">
        <w:rPr>
          <w:rFonts w:ascii="標楷體" w:eastAsia="標楷體" w:hAnsi="標楷體" w:hint="eastAsia"/>
          <w:color w:val="000000"/>
          <w:sz w:val="28"/>
          <w:szCs w:val="28"/>
        </w:rPr>
        <w:t>」</w:t>
      </w:r>
      <w:r w:rsidRPr="00134B54">
        <w:rPr>
          <w:rFonts w:ascii="標楷體" w:eastAsia="標楷體" w:hAnsi="標楷體"/>
          <w:color w:val="000000"/>
          <w:sz w:val="28"/>
          <w:szCs w:val="28"/>
        </w:rPr>
        <w:t>編列預算20億1,473萬2千元。</w:t>
      </w:r>
    </w:p>
    <w:p w14:paraId="16D22930" w14:textId="1BD70E84" w:rsidR="006B76A7" w:rsidRPr="00134B54" w:rsidRDefault="00E744CB" w:rsidP="006B76A7">
      <w:pPr>
        <w:pStyle w:val="ae"/>
        <w:ind w:left="924"/>
      </w:pPr>
      <w:r w:rsidRPr="00134B54">
        <w:t>查司法院114年7月10日院台廳三字第1140500752號函核定，土城司法園區專用區所需用地，擬以有償撥用及專案讓售等方式，向內政部及國防部軍備局購置，總經費56億5,944萬元，計畫期程為115至117年分3年辦理，</w:t>
      </w:r>
      <w:r w:rsidR="008B2F7E" w:rsidRPr="00134B54">
        <w:rPr>
          <w:rFonts w:hint="eastAsia"/>
        </w:rPr>
        <w:t>115</w:t>
      </w:r>
      <w:r w:rsidRPr="00134B54">
        <w:t>年度編列第一年經費20億1,473萬2千元，尚待編列36億4,470萬8千元。</w:t>
      </w:r>
    </w:p>
    <w:p w14:paraId="3121DDC1" w14:textId="30B5DEA4" w:rsidR="00E744CB" w:rsidRPr="00134B54" w:rsidRDefault="00747BFC" w:rsidP="006B76A7">
      <w:pPr>
        <w:pStyle w:val="ae"/>
        <w:ind w:left="924"/>
      </w:pPr>
      <w:r w:rsidRPr="00134B54">
        <w:rPr>
          <w:rFonts w:hint="eastAsia"/>
        </w:rPr>
        <w:t>立法</w:t>
      </w:r>
      <w:r w:rsidR="00E744CB" w:rsidRPr="00134B54">
        <w:t>院預算中心指出，依《預算法》第34條及《政府公共建設計畫先期作業實施要點》總投資金額在10億元以上之重要公共工程建設及重大施政計畫，應先行製作選擇方案及替代方案之成本效益分析報告，並提供財源籌措及資金運用之說明，始得編列概算及預算案，並送立法院備查。惟本購地計畫，司法院核定後即編列相關預算送立法院審議，未提出「土城司法園區」可行性研究及成本效益分析等報告</w:t>
      </w:r>
      <w:r w:rsidR="00457543" w:rsidRPr="00134B54">
        <w:rPr>
          <w:rFonts w:hint="eastAsia"/>
        </w:rPr>
        <w:t>，請司法院儘速報送</w:t>
      </w:r>
      <w:r w:rsidR="006C1D18" w:rsidRPr="00134B54">
        <w:rPr>
          <w:rFonts w:hint="eastAsia"/>
        </w:rPr>
        <w:t>立法院司法及法制委員會</w:t>
      </w:r>
      <w:r w:rsidR="00E744CB" w:rsidRPr="00134B54">
        <w:t>。【68】</w:t>
      </w:r>
    </w:p>
    <w:p w14:paraId="7C065C09" w14:textId="4A11511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w:t>
      </w:r>
    </w:p>
    <w:p w14:paraId="1560F97C" w14:textId="45CCC552"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連署人：許宇甄　陳昭姿</w:t>
      </w:r>
    </w:p>
    <w:p w14:paraId="5BBAB78D" w14:textId="2D5F5E4F"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第18項 臺灣桃園地方法院15億2,894萬7千元，照列。</w:t>
      </w:r>
    </w:p>
    <w:p w14:paraId="674F3121" w14:textId="5765C3A1"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D81FB1"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6DFC9BE5" w14:textId="77777777" w:rsidR="00A508BA" w:rsidRPr="00134B54" w:rsidRDefault="00E744CB" w:rsidP="00BF5B2C">
      <w:pPr>
        <w:pStyle w:val="a4"/>
        <w:numPr>
          <w:ilvl w:val="0"/>
          <w:numId w:val="17"/>
        </w:numPr>
        <w:snapToGrid w:val="0"/>
        <w:spacing w:line="380" w:lineRule="exact"/>
        <w:ind w:leftChars="0" w:left="924" w:hanging="567"/>
        <w:jc w:val="both"/>
        <w:rPr>
          <w:rFonts w:ascii="標楷體" w:eastAsia="標楷體" w:hAnsi="標楷體"/>
          <w:color w:val="000000"/>
          <w:sz w:val="28"/>
          <w:szCs w:val="28"/>
        </w:rPr>
      </w:pPr>
      <w:r w:rsidRPr="00134B54">
        <w:rPr>
          <w:rFonts w:ascii="標楷體" w:eastAsia="標楷體" w:hAnsi="標楷體"/>
          <w:color w:val="000000"/>
          <w:sz w:val="28"/>
          <w:szCs w:val="28"/>
        </w:rPr>
        <w:t>115年度臺灣桃園地方法院預算案於第2目「審判業務」編列預算1億7,162萬5千元。惟原住民族於司法程序中享有使用其語言之權利，然實際運作情形未臻完善。桃園地院轄區涵蓋之復興區為原住民族地區，涉及原住民族案件比例不容忽視，司法程序中落實原住民族語言權益，尤為重要。監察委員王美玉113年調查報告指出，我國原住民族共16族語、42種方言，</w:t>
      </w:r>
      <w:r w:rsidRPr="00134B54">
        <w:rPr>
          <w:rFonts w:ascii="標楷體" w:eastAsia="標楷體" w:hAnsi="標楷體"/>
          <w:color w:val="000000"/>
          <w:sz w:val="28"/>
          <w:szCs w:val="28"/>
        </w:rPr>
        <w:lastRenderedPageBreak/>
        <w:t>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4DE8B666" w14:textId="1F35EB95" w:rsidR="00E744CB" w:rsidRPr="00134B54" w:rsidRDefault="00A84264" w:rsidP="00A508BA">
      <w:pPr>
        <w:pStyle w:val="ae"/>
        <w:ind w:left="924"/>
      </w:pPr>
      <w:r w:rsidRPr="00134B54">
        <w:rPr>
          <w:rFonts w:hint="eastAsia"/>
        </w:rPr>
        <w:t>請</w:t>
      </w:r>
      <w:r w:rsidR="00E744CB" w:rsidRPr="00134B54">
        <w:t>臺灣桃園地方法院於2個月內向立法院司法及法制委員會提出</w:t>
      </w:r>
      <w:r w:rsidRPr="00134B54">
        <w:rPr>
          <w:rFonts w:hint="eastAsia"/>
        </w:rPr>
        <w:t>書面</w:t>
      </w:r>
      <w:r w:rsidR="00E744CB" w:rsidRPr="00134B54">
        <w:t>報告。【69】</w:t>
      </w:r>
    </w:p>
    <w:p w14:paraId="1BFB54CB" w14:textId="393B0DFC"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2994526B" w14:textId="0D5C8B6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325CA8CA" w14:textId="46450B0B"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第19項 臺灣新竹地方法院7億4,991萬3千元，照列。</w:t>
      </w:r>
    </w:p>
    <w:p w14:paraId="4BB5F7F9" w14:textId="3E61F582"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492094"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4AE9CD21" w14:textId="77777777" w:rsidR="00492094" w:rsidRPr="00134B54" w:rsidRDefault="00E744CB" w:rsidP="00BF5B2C">
      <w:pPr>
        <w:pStyle w:val="a4"/>
        <w:numPr>
          <w:ilvl w:val="0"/>
          <w:numId w:val="4"/>
        </w:numPr>
        <w:snapToGrid w:val="0"/>
        <w:spacing w:line="380" w:lineRule="exact"/>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新竹地方法院預算案於第2目「審判業務」編列預算7,500萬4千元。惟原住民族於司法程序中享有使用其語言之權利，然實際運作情形未臻完善。新竹地院轄區涵蓋關西鎮、尖石鄉、五峰鄉等原住民族地區，涉及原住民族案件比例相對較高，司法程序中落實原住民族語言權益，尤為重要。監察委員王美玉113年調查報告指出，我國原住民族共16族語、42種方言，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3EAB47CD" w14:textId="17B53418" w:rsidR="00E744CB" w:rsidRPr="00134B54" w:rsidRDefault="00492094" w:rsidP="00492094">
      <w:pPr>
        <w:pStyle w:val="ae"/>
        <w:ind w:left="924"/>
      </w:pPr>
      <w:r w:rsidRPr="00134B54">
        <w:rPr>
          <w:rFonts w:hint="eastAsia"/>
        </w:rPr>
        <w:t>請</w:t>
      </w:r>
      <w:r w:rsidR="00E744CB" w:rsidRPr="00134B54">
        <w:t>臺灣新竹地方法院於2個月內向立法院司法及法制委員會提出</w:t>
      </w:r>
      <w:r w:rsidRPr="00134B54">
        <w:rPr>
          <w:rFonts w:hint="eastAsia"/>
        </w:rPr>
        <w:t>書面</w:t>
      </w:r>
      <w:r w:rsidR="00E744CB" w:rsidRPr="00134B54">
        <w:t>報告。【70】</w:t>
      </w:r>
    </w:p>
    <w:p w14:paraId="507257D9" w14:textId="356E572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65120872" w14:textId="0CDF037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6295A342" w14:textId="658EDBDE"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第20項 臺灣苗栗地方法院4億5,810萬9千元，照列。</w:t>
      </w:r>
    </w:p>
    <w:p w14:paraId="23B92A0F" w14:textId="677EE0B0"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C169D5"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3833535F" w14:textId="77777777" w:rsidR="00BB291F" w:rsidRPr="00134B54" w:rsidRDefault="00E744CB" w:rsidP="00BF5B2C">
      <w:pPr>
        <w:pStyle w:val="a4"/>
        <w:numPr>
          <w:ilvl w:val="0"/>
          <w:numId w:val="5"/>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苗栗地方法院預算案於第2目「審判業務」編列預算5,280萬1千元。惟原住民族於司法程序中享有使用其語言之權利，然實際運作情形未臻完善。苗栗地院轄區涵蓋南庄鄉、獅潭鄉及泰安鄉等原住民族地區，涉及原住民族案件比例相對較高，司法程序中落實原住民族語言權益，尤為重要。監察委員王美玉113年調查報告指出，我國原住民族共16族語、42種方言，惟法院通譯僅有11種語別，語言保障顯然不足，</w:t>
      </w:r>
      <w:r w:rsidRPr="00134B54">
        <w:rPr>
          <w:rFonts w:ascii="標楷體" w:eastAsia="標楷體" w:hAnsi="標楷體"/>
          <w:color w:val="000000"/>
          <w:sz w:val="28"/>
          <w:szCs w:val="28"/>
        </w:rPr>
        <w:lastRenderedPageBreak/>
        <w:t>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0F112FF8" w14:textId="556C0FD9" w:rsidR="00E744CB" w:rsidRPr="00134B54" w:rsidRDefault="00E744CB" w:rsidP="00BB291F">
      <w:pPr>
        <w:pStyle w:val="ae"/>
        <w:ind w:left="924"/>
      </w:pPr>
      <w:r w:rsidRPr="00134B54">
        <w:t>爰</w:t>
      </w:r>
      <w:r w:rsidR="0068199C" w:rsidRPr="00134B54">
        <w:rPr>
          <w:rFonts w:hint="eastAsia"/>
        </w:rPr>
        <w:t>請</w:t>
      </w:r>
      <w:r w:rsidRPr="00134B54">
        <w:t>臺灣苗栗地方法院於2個月內向立法院司法及法制委員會提出</w:t>
      </w:r>
      <w:r w:rsidR="0068199C" w:rsidRPr="00134B54">
        <w:rPr>
          <w:rFonts w:hint="eastAsia"/>
        </w:rPr>
        <w:t>書面</w:t>
      </w:r>
      <w:r w:rsidRPr="00134B54">
        <w:t>報告。【71】</w:t>
      </w:r>
    </w:p>
    <w:p w14:paraId="47B9C1DE" w14:textId="151816E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5833D032" w14:textId="27E77E3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76E23D20" w14:textId="5E9D141C"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第21項 臺灣臺中地方法院20億0,240萬7千元，照列。</w:t>
      </w:r>
    </w:p>
    <w:p w14:paraId="3FF17A16" w14:textId="16414D5F"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C169D5"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54182E18" w14:textId="77777777" w:rsidR="00C169D5" w:rsidRPr="00134B54" w:rsidRDefault="00E744CB" w:rsidP="00BF5B2C">
      <w:pPr>
        <w:pStyle w:val="a4"/>
        <w:numPr>
          <w:ilvl w:val="0"/>
          <w:numId w:val="6"/>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臺中地方法院預算案於第2目「審判業務」編列預算2億0,077萬5千元。惟原住民族於司法程序中享有使用其語言之權利，然實際運作情形未臻完善。臺中地院轄區涵蓋之和平區為原住民族地區，涉及原住民族案件比例相對較高，司法程序中落實原住民族語言權益，尤為重要。監察委員王美玉113年調查報告指出，我國原住民族共16族語、42種方言，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3628C40C" w14:textId="0B4D1E8D" w:rsidR="00E744CB" w:rsidRPr="00134B54" w:rsidRDefault="00E744CB" w:rsidP="00C169D5">
      <w:pPr>
        <w:pStyle w:val="ae"/>
        <w:ind w:left="924"/>
      </w:pPr>
      <w:r w:rsidRPr="00134B54">
        <w:t>爰</w:t>
      </w:r>
      <w:r w:rsidR="00682F81" w:rsidRPr="00134B54">
        <w:rPr>
          <w:rFonts w:hint="eastAsia"/>
        </w:rPr>
        <w:t>請</w:t>
      </w:r>
      <w:r w:rsidRPr="00134B54">
        <w:t>臺灣臺中地方法院於2個月內向立法院司法及法制委員會提出</w:t>
      </w:r>
      <w:r w:rsidR="00682F81" w:rsidRPr="00134B54">
        <w:rPr>
          <w:rFonts w:hint="eastAsia"/>
        </w:rPr>
        <w:t>書面</w:t>
      </w:r>
      <w:r w:rsidRPr="00134B54">
        <w:t>報告。【72】</w:t>
      </w:r>
    </w:p>
    <w:p w14:paraId="3A9E05CE" w14:textId="0795EF9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1E14ACD3" w14:textId="482EE461"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49FC2CBD" w14:textId="6DB9AE85"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第22項 臺灣南投地方法院4億1,703萬9千元，照列。</w:t>
      </w:r>
    </w:p>
    <w:p w14:paraId="5DA76163" w14:textId="2C379B3A"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682F81"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63D166FB" w14:textId="77777777" w:rsidR="00D54B7A" w:rsidRPr="00134B54" w:rsidRDefault="00E744CB" w:rsidP="00BF5B2C">
      <w:pPr>
        <w:pStyle w:val="a4"/>
        <w:numPr>
          <w:ilvl w:val="0"/>
          <w:numId w:val="7"/>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南投地方法院預算案於第2目「審判業務」編列預算4,255萬6千元。惟原住民族於司法程序中享有使用其語言之權利，然實際運作情形未臻完善。南投地院轄區涵蓋仁愛鄉、魚池鄉、信義鄉等原住民族地區，涉及原住民族案件比例相對較高，司法程序中落實原住民族語言權益，尤為重要。監察委員王美玉113年調查報告指出，我國原住民族共16族語、42種方言，惟法院通譯僅有11種語別，語言保障顯然不足，恐使特定族群於司法程序中處於弱勢。實務上亦有因缺乏原民通譯導致文化語境誤解之案例，顯示通譯不足將影響司法公正</w:t>
      </w:r>
      <w:r w:rsidRPr="00134B54">
        <w:rPr>
          <w:rFonts w:ascii="標楷體" w:eastAsia="標楷體" w:hAnsi="標楷體"/>
          <w:color w:val="000000"/>
          <w:sz w:val="28"/>
          <w:szCs w:val="28"/>
        </w:rPr>
        <w:lastRenderedPageBreak/>
        <w:t>與當事人權益。原民通譯不僅是語言翻譯，更是文化脈絡的詮釋者，能協助司法機關正確認知文化與法律落差，以確保原住民族司法權益。</w:t>
      </w:r>
    </w:p>
    <w:p w14:paraId="27B4D565" w14:textId="02348C0B" w:rsidR="00E744CB" w:rsidRPr="00134B54" w:rsidRDefault="006D4780" w:rsidP="00D54B7A">
      <w:pPr>
        <w:pStyle w:val="ae"/>
        <w:ind w:left="924"/>
      </w:pPr>
      <w:r w:rsidRPr="00134B54">
        <w:rPr>
          <w:rFonts w:hint="eastAsia"/>
        </w:rPr>
        <w:t>請</w:t>
      </w:r>
      <w:r w:rsidR="00E744CB" w:rsidRPr="00134B54">
        <w:t>臺灣南投地方法院於2個月內向立法院司法及法制委員會提出</w:t>
      </w:r>
      <w:r w:rsidRPr="00134B54">
        <w:rPr>
          <w:rFonts w:hint="eastAsia"/>
        </w:rPr>
        <w:t>書面</w:t>
      </w:r>
      <w:r w:rsidR="00E744CB" w:rsidRPr="00134B54">
        <w:t>報告。【73】</w:t>
      </w:r>
    </w:p>
    <w:p w14:paraId="53A28E2D" w14:textId="1528EB7F"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5DDF2301" w14:textId="6B97AEE5"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351D7F61" w14:textId="6EF33D17"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第23項 臺灣彰化地方法院8億7,821萬2千元，照列。</w:t>
      </w:r>
    </w:p>
    <w:p w14:paraId="047B8E26" w14:textId="5C2F38B9"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第24項 臺灣雲林地方法院5億8,146萬9千元，照列。</w:t>
      </w:r>
    </w:p>
    <w:p w14:paraId="1A9FE91A" w14:textId="34B93424"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第25項 臺灣嘉義地方法院7億2,978萬6千元，照列。</w:t>
      </w:r>
    </w:p>
    <w:p w14:paraId="003403F5" w14:textId="50DF83AA"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BE7A26"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66F03443" w14:textId="77777777" w:rsidR="00BE7A26" w:rsidRPr="00134B54" w:rsidRDefault="00E744CB" w:rsidP="00BF5B2C">
      <w:pPr>
        <w:pStyle w:val="a4"/>
        <w:numPr>
          <w:ilvl w:val="0"/>
          <w:numId w:val="8"/>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嘉義地方法院預算案於第2目「審判業務」編列預算7,282萬2千元。惟原住民族於司法程序中享有使用其語言之權利，然實際運作情形未臻完善。嘉義地院轄區涵蓋之阿里山鄉為原住民族地區，涉及原住民族案件比例相對較高，司法程序中落實原住民族語言權益，尤為重要。監察委員王美玉113年調查報告指出，我國原住民族共16族語、42種方言，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232001C0" w14:textId="0C109BEC" w:rsidR="00E744CB" w:rsidRPr="00134B54" w:rsidRDefault="00E744CB" w:rsidP="006758C7">
      <w:pPr>
        <w:pStyle w:val="ae"/>
        <w:ind w:left="924"/>
      </w:pPr>
      <w:r w:rsidRPr="00134B54">
        <w:t>爰</w:t>
      </w:r>
      <w:r w:rsidR="00BE7A26" w:rsidRPr="00134B54">
        <w:rPr>
          <w:rFonts w:hint="eastAsia"/>
        </w:rPr>
        <w:t>請</w:t>
      </w:r>
      <w:r w:rsidRPr="00134B54">
        <w:t>臺灣嘉義地方法院於2個月內向立法院司法及法制委員會提出</w:t>
      </w:r>
      <w:r w:rsidR="00BE7A26" w:rsidRPr="00134B54">
        <w:rPr>
          <w:rFonts w:hint="eastAsia"/>
        </w:rPr>
        <w:t>書面</w:t>
      </w:r>
      <w:r w:rsidRPr="00134B54">
        <w:t>報告。【74】</w:t>
      </w:r>
    </w:p>
    <w:p w14:paraId="1FEF79A3" w14:textId="7954E86C"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49656FF2" w14:textId="18BE869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603F2666" w14:textId="6C17DA91"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第26項 臺灣臺南地方法院12億7,781萬1千元，照列。</w:t>
      </w:r>
    </w:p>
    <w:p w14:paraId="6A28E3F6" w14:textId="335D41A6"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第27項 臺灣橋頭地方法院6億9,893萬3千元，照列。</w:t>
      </w:r>
    </w:p>
    <w:p w14:paraId="699374FC" w14:textId="1FDB2A72"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870DA9"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341390C5" w14:textId="77777777" w:rsidR="00501105" w:rsidRPr="00134B54" w:rsidRDefault="00E744CB" w:rsidP="00BF5B2C">
      <w:pPr>
        <w:pStyle w:val="a4"/>
        <w:numPr>
          <w:ilvl w:val="0"/>
          <w:numId w:val="9"/>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橋頭地方法院預算案於第2目「審判業務」編列預算8,767萬5千元。惟原住民族於司法程序中享有使用其語言之權利，然實際運作情形未臻完善，其中橋頭地方法院轄區涵蓋那瑪夏區、桃源區、茂林區等原住民族地區，涉及原住民族案件比例相對較高，司法程序中落實原住民族語言權益，尤為重要。監察委員王美玉113年調查報告即指出，我國原住民族共16族語、42種方言，惟法院僅有11種語別，語言保障顯然不足，恐使特定族群在司法程序中處於弱勢。更有實際案例</w:t>
      </w:r>
      <w:r w:rsidRPr="00134B54">
        <w:rPr>
          <w:rFonts w:ascii="標楷體" w:eastAsia="標楷體" w:hAnsi="標楷體"/>
          <w:color w:val="000000"/>
          <w:sz w:val="28"/>
          <w:szCs w:val="28"/>
        </w:rPr>
        <w:lastRenderedPageBreak/>
        <w:t>顯示，因缺乏原民通譯而造成文化語境誤解。例如原住民族依傳統慣習之行為，卻因無法以中文表述其文化內涵，而被誤解為違法行為。當事人並非聽懂華語即可免於通譯，否則文化背景與法律語境的差距將難以彌補。原民通譯不僅是語言翻譯，更是文化脈絡的詮釋者，以保障原住民族司法權益，應檢討現行原民通譯制度之不足，並具體回應社會各界關切。</w:t>
      </w:r>
    </w:p>
    <w:p w14:paraId="6C446C5E" w14:textId="4941560E" w:rsidR="00E744CB" w:rsidRPr="00134B54" w:rsidRDefault="00E744CB" w:rsidP="006758C7">
      <w:pPr>
        <w:pStyle w:val="ae"/>
        <w:ind w:left="924"/>
      </w:pPr>
      <w:r w:rsidRPr="00134B54">
        <w:t>爰</w:t>
      </w:r>
      <w:r w:rsidR="00501105" w:rsidRPr="00134B54">
        <w:rPr>
          <w:rFonts w:hint="eastAsia"/>
        </w:rPr>
        <w:t>請</w:t>
      </w:r>
      <w:r w:rsidRPr="00134B54">
        <w:t>臺灣橋頭地方法院於2個月內向立法院司法及法制委員會提出</w:t>
      </w:r>
      <w:r w:rsidR="00501105" w:rsidRPr="00134B54">
        <w:rPr>
          <w:rFonts w:hint="eastAsia"/>
        </w:rPr>
        <w:t>書面</w:t>
      </w:r>
      <w:r w:rsidRPr="00134B54">
        <w:t>報告。【75】</w:t>
      </w:r>
    </w:p>
    <w:p w14:paraId="19F5E85F" w14:textId="3E180CF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3BB6402A" w14:textId="768AF0E2"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4B47FD4B" w14:textId="3AB07EF3"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第28項 臺灣高雄地方法院12億7,234萬5千元，照列。</w:t>
      </w:r>
    </w:p>
    <w:p w14:paraId="20031150" w14:textId="2D26E193"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第29項 臺灣屏東地方法院7億1,444萬3千元，照列。</w:t>
      </w:r>
    </w:p>
    <w:p w14:paraId="3328C9F4" w14:textId="360D6A10"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7003EF"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750047DF" w14:textId="77777777" w:rsidR="006758C7" w:rsidRPr="00134B54" w:rsidRDefault="00E744CB" w:rsidP="00BF5B2C">
      <w:pPr>
        <w:pStyle w:val="a4"/>
        <w:numPr>
          <w:ilvl w:val="0"/>
          <w:numId w:val="10"/>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屏東地方法院預算案於第2目「審判業務」編列預算7,210萬6千元。然屏東地院轄區涵蓋瑪家鄉、泰武鄉、來義鄉、春日鄉、獅子鄉、牡丹鄉、三地門鄉、霧臺鄉及滿州鄉等原住民族地區，涉及原住民族案件比例相對較高，司法程序中落實原住民族語言權益，尤為重要。原住民族於司法程序中享有使用其語言之權利，然現行制度建置尚不完備。監察委員王美玉113年調查報告亦曾指出，我國原住民族共16族語42種方言，然法院僅有11種語別，語言保障明顯不足，致使部分族群於司法程序中處於弱勢。司法實務中更曾發生因語言與文化差異導致誤解的案例，顯示司法通譯資源不足，將影響審判公平與當事人之訴訟權益。</w:t>
      </w:r>
    </w:p>
    <w:p w14:paraId="3109BAE7" w14:textId="02B14F0B" w:rsidR="00E744CB" w:rsidRPr="00134B54" w:rsidRDefault="00E744CB" w:rsidP="006758C7">
      <w:pPr>
        <w:pStyle w:val="ae"/>
        <w:ind w:left="924"/>
      </w:pPr>
      <w:r w:rsidRPr="00134B54">
        <w:t>爰</w:t>
      </w:r>
      <w:r w:rsidR="006758C7" w:rsidRPr="00134B54">
        <w:rPr>
          <w:rFonts w:hint="eastAsia"/>
        </w:rPr>
        <w:t>請</w:t>
      </w:r>
      <w:r w:rsidRPr="00134B54">
        <w:t>臺灣屏東地方法院於2個月內向立法院司法及法制委員會提出</w:t>
      </w:r>
      <w:r w:rsidR="006758C7" w:rsidRPr="00134B54">
        <w:rPr>
          <w:rFonts w:hint="eastAsia"/>
        </w:rPr>
        <w:t>書面</w:t>
      </w:r>
      <w:r w:rsidRPr="00134B54">
        <w:t>報告。【76】</w:t>
      </w:r>
    </w:p>
    <w:p w14:paraId="743C420D" w14:textId="13B8B139"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2F738CAF" w14:textId="45DFCD9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35DEEFA6" w14:textId="5DB0E03D"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第30項 臺灣臺東地方法院3億3,377萬5千元，照列。</w:t>
      </w:r>
    </w:p>
    <w:p w14:paraId="74E3AE81" w14:textId="03972C58"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6758C7"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0EE5ED40" w14:textId="77777777" w:rsidR="006758C7" w:rsidRPr="00134B54" w:rsidRDefault="00E744CB" w:rsidP="00BF5B2C">
      <w:pPr>
        <w:pStyle w:val="a4"/>
        <w:numPr>
          <w:ilvl w:val="0"/>
          <w:numId w:val="11"/>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臺東地方法院預算案於第2目「審判業務」編列預算3,217萬7千元。惟原住民族於司法程序中享有使用其語言之權利，然實際運作情形未臻完善。臺東地院轄區涵蓋達仁鄉、大武鄉、金峰鄉、太麻里鄉、卑南鄉、蘭嶼鄉、延平鄉、鹿野鄉、台東市、東河鄉、關山鎮、池上鄉、成功鎮、海端鄉、長濱鄉等原住民族地區，涉及原住民族案件比例相對較高，司法程序中落實原住民族語言權益，尤為重要。監察委員王美玉113年調查報告指出，我國原住民族共16族語、42種方言，</w:t>
      </w:r>
      <w:r w:rsidRPr="00134B54">
        <w:rPr>
          <w:rFonts w:ascii="標楷體" w:eastAsia="標楷體" w:hAnsi="標楷體"/>
          <w:color w:val="000000"/>
          <w:sz w:val="28"/>
          <w:szCs w:val="28"/>
        </w:rPr>
        <w:lastRenderedPageBreak/>
        <w:t>惟法院通譯僅有11種語別，語言保障顯然不足，恐使特定族群於司法程序中處於弱勢。實務上亦曾發生因語言與文化差異而導致誤解之案例，顯示司法通譯資源不足，將影響審判公平與當事人之訴訟權益。原民通譯不僅是語言翻譯，更是文化脈絡的詮釋者，以協助法官、檢察官及律師正確認知文化內涵與法律事實之落差，確保原住民族司法權益。</w:t>
      </w:r>
    </w:p>
    <w:p w14:paraId="7644E85A" w14:textId="19D7DBBA" w:rsidR="00E744CB" w:rsidRPr="00134B54" w:rsidRDefault="006758C7" w:rsidP="006758C7">
      <w:pPr>
        <w:pStyle w:val="ae"/>
        <w:ind w:left="924"/>
      </w:pPr>
      <w:r w:rsidRPr="00134B54">
        <w:rPr>
          <w:rFonts w:hint="eastAsia"/>
        </w:rPr>
        <w:t>請</w:t>
      </w:r>
      <w:r w:rsidR="00E744CB" w:rsidRPr="00134B54">
        <w:t>臺灣臺東地方法院於2個月內向立法院司法及法制委員會提出</w:t>
      </w:r>
      <w:r w:rsidR="005209ED" w:rsidRPr="00134B54">
        <w:rPr>
          <w:rFonts w:hint="eastAsia"/>
        </w:rPr>
        <w:t>書面</w:t>
      </w:r>
      <w:r w:rsidR="00E744CB" w:rsidRPr="00134B54">
        <w:t>報告。【77】</w:t>
      </w:r>
    </w:p>
    <w:p w14:paraId="17B7B6BD" w14:textId="1ECF20F3"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0B2FDC65" w14:textId="561DC270"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4EB91E8D" w14:textId="3C66D929" w:rsidR="00E744CB" w:rsidRPr="00134B54" w:rsidRDefault="00E744CB" w:rsidP="00E744CB">
      <w:pPr>
        <w:snapToGrid w:val="0"/>
        <w:ind w:leftChars="150" w:left="1200" w:hangingChars="300" w:hanging="840"/>
        <w:jc w:val="both"/>
        <w:rPr>
          <w:rFonts w:ascii="標楷體" w:eastAsia="標楷體" w:hAnsi="標楷體"/>
          <w:color w:val="000000"/>
          <w:sz w:val="28"/>
          <w:szCs w:val="28"/>
        </w:rPr>
      </w:pPr>
      <w:r w:rsidRPr="00134B54">
        <w:rPr>
          <w:rFonts w:ascii="標楷體" w:eastAsia="標楷體" w:hAnsi="標楷體"/>
          <w:color w:val="000000"/>
          <w:sz w:val="28"/>
          <w:szCs w:val="28"/>
        </w:rPr>
        <w:t>第31項 臺灣花蓮地方法院4億7,253萬7千元，照列。</w:t>
      </w:r>
    </w:p>
    <w:p w14:paraId="558AFAFC" w14:textId="1F58FDA2"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0C23DC"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0917CA80" w14:textId="77777777" w:rsidR="000C23DC" w:rsidRPr="00134B54" w:rsidRDefault="00E744CB" w:rsidP="00BF5B2C">
      <w:pPr>
        <w:pStyle w:val="a4"/>
        <w:numPr>
          <w:ilvl w:val="0"/>
          <w:numId w:val="12"/>
        </w:numPr>
        <w:snapToGrid w:val="0"/>
        <w:ind w:leftChars="178" w:left="987" w:hangingChars="200" w:hanging="560"/>
        <w:jc w:val="both"/>
        <w:rPr>
          <w:rFonts w:ascii="標楷體" w:eastAsia="標楷體" w:hAnsi="標楷體"/>
          <w:color w:val="000000"/>
          <w:sz w:val="28"/>
          <w:szCs w:val="28"/>
        </w:rPr>
      </w:pPr>
      <w:r w:rsidRPr="00134B54">
        <w:rPr>
          <w:rFonts w:ascii="標楷體" w:eastAsia="標楷體" w:hAnsi="標楷體"/>
          <w:color w:val="000000"/>
          <w:sz w:val="28"/>
          <w:szCs w:val="28"/>
        </w:rPr>
        <w:t>115年度臺灣花蓮地方法院預算案於第2目「審判業務」編列預算4,164萬2千元。惟原住民族於司法程序中享有使用其語言之權利，然實際運作情形未臻完善。花蓮地院轄區涵蓋富里鄉、卓溪鄉、玉里鎮、瑞穗鄉、豐濱鄉、光復鄉、鳳林鎮、萬榮鄉、壽豐鄉、吉安鄉、花蓮市、新城鄉及秀林鄉等原住民族地區，涉及原住民族案件比例相對較高，司法程序中落實原住民族語言權益，尤為重要。監察委員王美玉113年調查報告指出，我國原住民族共16族語、42種方言，惟法院通譯僅有11種語別，語言保障顯然不足，恐使特定族群於司法程序中處於弱勢。實務上亦曾發生因語言與文化差異而導致誤解之案例，顯示司法通譯資源不足，將影響審判公平與當事人之訴訟權益。原民通譯不僅是語言翻譯，更是文化脈絡的詮釋者，以協助法官、檢察官及律師正確認知文化內涵與法律事實之落差，確保原住民族司法權益。</w:t>
      </w:r>
    </w:p>
    <w:p w14:paraId="0D02D346" w14:textId="4E4A993C" w:rsidR="00E744CB" w:rsidRPr="00134B54" w:rsidRDefault="000C23DC" w:rsidP="000C23DC">
      <w:pPr>
        <w:pStyle w:val="ae"/>
        <w:ind w:left="924"/>
      </w:pPr>
      <w:r w:rsidRPr="00134B54">
        <w:rPr>
          <w:rFonts w:hint="eastAsia"/>
        </w:rPr>
        <w:t>請</w:t>
      </w:r>
      <w:r w:rsidR="00E744CB" w:rsidRPr="00134B54">
        <w:t>臺灣花蓮地方法院於2個月內向立法院司法及法制委員會提出</w:t>
      </w:r>
      <w:r w:rsidR="0000561D" w:rsidRPr="00134B54">
        <w:rPr>
          <w:rFonts w:hint="eastAsia"/>
        </w:rPr>
        <w:t>書面</w:t>
      </w:r>
      <w:r w:rsidR="00E744CB" w:rsidRPr="00134B54">
        <w:t>報告。【78】</w:t>
      </w:r>
    </w:p>
    <w:p w14:paraId="570677BA" w14:textId="7853D33A"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42DB44B7" w14:textId="10AE541E"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0ADDB3FB" w14:textId="379C8951" w:rsidR="00E744CB" w:rsidRPr="00134B54" w:rsidRDefault="00E744CB" w:rsidP="00E744CB">
      <w:pPr>
        <w:snapToGrid w:val="0"/>
        <w:ind w:leftChars="150" w:left="1200" w:hangingChars="300" w:hanging="840"/>
        <w:jc w:val="both"/>
        <w:rPr>
          <w:rFonts w:ascii="標楷體" w:eastAsia="標楷體" w:hAnsi="標楷體"/>
          <w:sz w:val="28"/>
          <w:szCs w:val="28"/>
        </w:rPr>
      </w:pPr>
      <w:r w:rsidRPr="00134B54">
        <w:rPr>
          <w:rFonts w:ascii="標楷體" w:eastAsia="標楷體" w:hAnsi="標楷體"/>
          <w:sz w:val="28"/>
          <w:szCs w:val="28"/>
        </w:rPr>
        <w:t>第32項 臺灣宜蘭地方法院4億0,486萬7千元，照列。</w:t>
      </w:r>
    </w:p>
    <w:p w14:paraId="356D0479" w14:textId="2AAB5AB5" w:rsidR="00E744CB" w:rsidRPr="00134B54" w:rsidRDefault="00E744CB" w:rsidP="00E744CB">
      <w:pPr>
        <w:snapToGrid w:val="0"/>
        <w:ind w:leftChars="150" w:left="1201" w:hangingChars="300" w:hanging="841"/>
        <w:jc w:val="both"/>
        <w:rPr>
          <w:rFonts w:ascii="標楷體" w:eastAsia="標楷體" w:hAnsi="標楷體"/>
          <w:b/>
          <w:bCs/>
          <w:sz w:val="28"/>
          <w:szCs w:val="28"/>
        </w:rPr>
      </w:pPr>
      <w:r w:rsidRPr="00134B54">
        <w:rPr>
          <w:rFonts w:ascii="標楷體" w:eastAsia="標楷體" w:hAnsi="標楷體"/>
          <w:b/>
          <w:bCs/>
          <w:sz w:val="28"/>
          <w:szCs w:val="28"/>
        </w:rPr>
        <w:t>本項通過決議</w:t>
      </w:r>
      <w:r w:rsidR="003A4F14" w:rsidRPr="00134B54">
        <w:rPr>
          <w:rFonts w:ascii="標楷體" w:eastAsia="標楷體" w:hAnsi="標楷體" w:hint="eastAsia"/>
          <w:b/>
          <w:bCs/>
          <w:sz w:val="28"/>
          <w:szCs w:val="28"/>
        </w:rPr>
        <w:t>1</w:t>
      </w:r>
      <w:r w:rsidRPr="00134B54">
        <w:rPr>
          <w:rFonts w:ascii="標楷體" w:eastAsia="標楷體" w:hAnsi="標楷體"/>
          <w:b/>
          <w:bCs/>
          <w:sz w:val="28"/>
          <w:szCs w:val="28"/>
        </w:rPr>
        <w:t>項：</w:t>
      </w:r>
    </w:p>
    <w:p w14:paraId="5B68952C" w14:textId="77777777" w:rsidR="00E72CD4" w:rsidRPr="00134B54" w:rsidRDefault="00E744CB" w:rsidP="00BF5B2C">
      <w:pPr>
        <w:pStyle w:val="a4"/>
        <w:numPr>
          <w:ilvl w:val="0"/>
          <w:numId w:val="13"/>
        </w:numPr>
        <w:snapToGrid w:val="0"/>
        <w:ind w:leftChars="178" w:left="987" w:hangingChars="200" w:hanging="560"/>
        <w:jc w:val="both"/>
        <w:rPr>
          <w:rFonts w:ascii="標楷體" w:eastAsia="標楷體" w:hAnsi="標楷體"/>
          <w:color w:val="000000"/>
          <w:sz w:val="28"/>
          <w:szCs w:val="28"/>
        </w:rPr>
      </w:pPr>
      <w:bookmarkStart w:id="32" w:name="tmpsummary"/>
      <w:bookmarkEnd w:id="32"/>
      <w:r w:rsidRPr="00134B54">
        <w:rPr>
          <w:rFonts w:ascii="標楷體" w:eastAsia="標楷體" w:hAnsi="標楷體"/>
          <w:color w:val="000000"/>
          <w:sz w:val="28"/>
          <w:szCs w:val="28"/>
        </w:rPr>
        <w:t>115年度臺灣宜蘭地方法院預算案於第2目「審判業務」編列預算4,317萬5千元。惟原住民族於司法程序中享有使用其語言之權利，然實際運作情形未臻完善。宜蘭地院轄區涵蓋大同鄉、南澳鄉等原住民族地區，涉及原住民族案件比例相對較高，司法程序中落實原住民族語言權益，尤為重要。監察委員王美玉113年調查報告指出，我國原住民族共16族語、42種方言，</w:t>
      </w:r>
      <w:r w:rsidRPr="00134B54">
        <w:rPr>
          <w:rFonts w:ascii="標楷體" w:eastAsia="標楷體" w:hAnsi="標楷體"/>
          <w:color w:val="000000"/>
          <w:sz w:val="28"/>
          <w:szCs w:val="28"/>
        </w:rPr>
        <w:lastRenderedPageBreak/>
        <w:t>惟法院通譯僅有11種語別，語言保障顯然不足，恐使特定族群於司法程序中處於弱勢。司法實務中亦曾發生因語言與文化差異而導致誤解之案例，顯示司法通譯資源不足，將影響審判公平與當事人之訴訟權益。原民通譯不僅是語言翻譯，更是文化脈絡的詮釋者，以協助司法機關正確認知文化內涵與法律事實之落差，確保原住民族司法權益。</w:t>
      </w:r>
    </w:p>
    <w:p w14:paraId="1F3161DA" w14:textId="2652C221" w:rsidR="00E744CB" w:rsidRPr="00134B54" w:rsidRDefault="00CD3CCB" w:rsidP="00E72CD4">
      <w:pPr>
        <w:pStyle w:val="ae"/>
        <w:ind w:left="924"/>
      </w:pPr>
      <w:r w:rsidRPr="00134B54">
        <w:rPr>
          <w:rFonts w:hint="eastAsia"/>
        </w:rPr>
        <w:t>請</w:t>
      </w:r>
      <w:r w:rsidR="00E744CB" w:rsidRPr="00134B54">
        <w:t>臺灣宜蘭地方法院於2個月內向立法院司法及法制委員會提出</w:t>
      </w:r>
      <w:r w:rsidRPr="00134B54">
        <w:rPr>
          <w:rFonts w:hint="eastAsia"/>
        </w:rPr>
        <w:t>書面</w:t>
      </w:r>
      <w:r w:rsidR="00E744CB" w:rsidRPr="00134B54">
        <w:t>報告。【79】</w:t>
      </w:r>
    </w:p>
    <w:p w14:paraId="6C0D250D" w14:textId="2610B984"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提案人：林倩綺</w:t>
      </w:r>
    </w:p>
    <w:p w14:paraId="6AA9BA78" w14:textId="5D3EB697" w:rsidR="00E744CB" w:rsidRPr="00134B54" w:rsidRDefault="00E744CB" w:rsidP="00E744CB">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p w14:paraId="49EF98EB" w14:textId="2DF469F7"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第33項 臺灣基隆地方法院4億7,468萬5千元，照列。</w:t>
      </w:r>
    </w:p>
    <w:p w14:paraId="1491F2FD" w14:textId="7416523F"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第34項 臺灣澎湖地方法院1億5,716萬5千元，照列。</w:t>
      </w:r>
    </w:p>
    <w:p w14:paraId="175E2E47" w14:textId="209131A2"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第35項 臺灣高雄少年及家事法院4億7,820萬4千元，照列。</w:t>
      </w:r>
    </w:p>
    <w:p w14:paraId="7D29C85F" w14:textId="5750DC4C"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第36項 福建高等法院金門分院5,819萬4千元，照列。</w:t>
      </w:r>
    </w:p>
    <w:p w14:paraId="54202314" w14:textId="301AD676" w:rsidR="00E744CB" w:rsidRPr="00134B54" w:rsidRDefault="00E744CB" w:rsidP="00E744CB">
      <w:pPr>
        <w:snapToGrid w:val="0"/>
        <w:ind w:leftChars="150" w:left="153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第37項 福建金門地方法院1億2,004萬3千元，照列。</w:t>
      </w:r>
    </w:p>
    <w:p w14:paraId="4D18A9BD" w14:textId="32C8916C" w:rsidR="000C193D" w:rsidRPr="00134B54" w:rsidRDefault="00E744CB" w:rsidP="00E744CB">
      <w:pPr>
        <w:snapToGrid w:val="0"/>
        <w:ind w:leftChars="150" w:left="1536" w:hangingChars="420" w:hanging="1176"/>
        <w:jc w:val="both"/>
        <w:rPr>
          <w:rFonts w:ascii="標楷體" w:eastAsia="標楷體" w:hAnsi="標楷體"/>
          <w:sz w:val="28"/>
          <w:szCs w:val="28"/>
        </w:rPr>
      </w:pPr>
      <w:r w:rsidRPr="00134B54">
        <w:rPr>
          <w:rFonts w:ascii="標楷體" w:eastAsia="標楷體" w:hAnsi="標楷體"/>
          <w:color w:val="000000"/>
          <w:sz w:val="28"/>
          <w:szCs w:val="28"/>
        </w:rPr>
        <w:t>第38項 福建連江地方法院3,656萬5千元，照列。</w:t>
      </w:r>
    </w:p>
    <w:p w14:paraId="743E5FCD" w14:textId="77777777" w:rsidR="00356512" w:rsidRPr="006D0340" w:rsidRDefault="00356512" w:rsidP="00D8307C">
      <w:pPr>
        <w:snapToGrid w:val="0"/>
        <w:spacing w:line="380" w:lineRule="exact"/>
        <w:ind w:leftChars="53" w:left="688" w:hangingChars="200" w:hanging="561"/>
        <w:jc w:val="both"/>
        <w:rPr>
          <w:rFonts w:ascii="標楷體" w:eastAsia="標楷體" w:hAnsi="標楷體"/>
          <w:b/>
          <w:sz w:val="28"/>
          <w:szCs w:val="28"/>
          <w:shd w:val="clear" w:color="auto" w:fill="FFFFFF"/>
        </w:rPr>
      </w:pPr>
      <w:r w:rsidRPr="006D0340">
        <w:rPr>
          <w:rFonts w:ascii="標楷體" w:eastAsia="標楷體" w:hAnsi="標楷體" w:hint="eastAsia"/>
          <w:b/>
          <w:sz w:val="28"/>
          <w:szCs w:val="28"/>
          <w:shd w:val="clear" w:color="auto" w:fill="FFFFFF"/>
        </w:rPr>
        <w:t>(三)</w:t>
      </w:r>
      <w:r w:rsidRPr="00D8307C">
        <w:rPr>
          <w:rFonts w:ascii="標楷體" w:eastAsia="標楷體" w:hAnsi="標楷體" w:cs="Times New Roman" w:hint="eastAsia"/>
          <w:b/>
          <w:bCs/>
          <w:sz w:val="28"/>
          <w:szCs w:val="28"/>
        </w:rPr>
        <w:t>中華民國</w:t>
      </w:r>
      <w:r w:rsidRPr="006D0340">
        <w:rPr>
          <w:rFonts w:ascii="標楷體" w:eastAsia="標楷體" w:hAnsi="標楷體" w:hint="eastAsia"/>
          <w:b/>
          <w:sz w:val="28"/>
          <w:szCs w:val="28"/>
          <w:shd w:val="clear" w:color="auto" w:fill="FFFFFF"/>
        </w:rPr>
        <w:t>11</w:t>
      </w:r>
      <w:r w:rsidRPr="006D0340">
        <w:rPr>
          <w:rFonts w:ascii="標楷體" w:eastAsia="標楷體" w:hAnsi="標楷體"/>
          <w:b/>
          <w:sz w:val="28"/>
          <w:szCs w:val="28"/>
          <w:shd w:val="clear" w:color="auto" w:fill="FFFFFF"/>
        </w:rPr>
        <w:t>5</w:t>
      </w:r>
      <w:r w:rsidRPr="006D0340">
        <w:rPr>
          <w:rFonts w:ascii="標楷體" w:eastAsia="標楷體" w:hAnsi="標楷體" w:hint="eastAsia"/>
          <w:b/>
          <w:sz w:val="28"/>
          <w:szCs w:val="28"/>
          <w:shd w:val="clear" w:color="auto" w:fill="FFFFFF"/>
        </w:rPr>
        <w:t>年度中央政府總預算案關於司法院及所屬主管收支部分</w:t>
      </w:r>
      <w:r w:rsidRPr="006D0340">
        <w:rPr>
          <w:rFonts w:ascii="標楷體" w:eastAsia="標楷體" w:hAnsi="標楷體"/>
          <w:b/>
          <w:sz w:val="28"/>
          <w:szCs w:val="28"/>
          <w:shd w:val="clear" w:color="auto" w:fill="FFFFFF"/>
        </w:rPr>
        <w:t>審查完竣，</w:t>
      </w:r>
      <w:r w:rsidRPr="006D0340">
        <w:rPr>
          <w:rFonts w:ascii="標楷體" w:eastAsia="標楷體" w:hAnsi="標楷體" w:hint="eastAsia"/>
          <w:b/>
          <w:sz w:val="28"/>
          <w:szCs w:val="28"/>
          <w:shd w:val="clear" w:color="auto" w:fill="FFFFFF"/>
        </w:rPr>
        <w:t>提報院會，院會討論前，</w:t>
      </w:r>
      <w:r w:rsidRPr="006D0340">
        <w:rPr>
          <w:rFonts w:ascii="標楷體" w:eastAsia="標楷體" w:hAnsi="標楷體"/>
          <w:b/>
          <w:sz w:val="28"/>
          <w:szCs w:val="28"/>
          <w:shd w:val="clear" w:color="auto" w:fill="FFFFFF"/>
        </w:rPr>
        <w:t>須交由黨團協商</w:t>
      </w:r>
      <w:r w:rsidRPr="006D0340">
        <w:rPr>
          <w:rFonts w:ascii="標楷體" w:eastAsia="標楷體" w:hAnsi="標楷體" w:hint="eastAsia"/>
          <w:b/>
          <w:sz w:val="28"/>
          <w:szCs w:val="28"/>
          <w:shd w:val="clear" w:color="auto" w:fill="FFFFFF"/>
        </w:rPr>
        <w:t>；院會討論時，由莊召集委員瑞雄出席說明</w:t>
      </w:r>
      <w:r w:rsidRPr="006D0340">
        <w:rPr>
          <w:rFonts w:ascii="標楷體" w:eastAsia="標楷體" w:hAnsi="標楷體"/>
          <w:b/>
          <w:sz w:val="28"/>
          <w:szCs w:val="28"/>
          <w:shd w:val="clear" w:color="auto" w:fill="FFFFFF"/>
        </w:rPr>
        <w:t>。</w:t>
      </w:r>
    </w:p>
    <w:p w14:paraId="17EE2B6B" w14:textId="77777777" w:rsidR="00356512" w:rsidRPr="00134B54" w:rsidRDefault="00356512" w:rsidP="00356512">
      <w:pPr>
        <w:kinsoku w:val="0"/>
        <w:adjustRightInd w:val="0"/>
        <w:snapToGrid w:val="0"/>
        <w:spacing w:line="380" w:lineRule="exact"/>
        <w:ind w:left="560" w:hangingChars="200" w:hanging="560"/>
        <w:jc w:val="both"/>
        <w:rPr>
          <w:rFonts w:ascii="標楷體" w:eastAsia="標楷體" w:hAnsi="標楷體"/>
          <w:sz w:val="28"/>
          <w:szCs w:val="28"/>
        </w:rPr>
      </w:pPr>
    </w:p>
    <w:p w14:paraId="270469BC" w14:textId="77777777" w:rsidR="00356512" w:rsidRPr="00134B54" w:rsidRDefault="00356512" w:rsidP="00356512">
      <w:pPr>
        <w:kinsoku w:val="0"/>
        <w:adjustRightInd w:val="0"/>
        <w:snapToGrid w:val="0"/>
        <w:spacing w:line="380" w:lineRule="exact"/>
        <w:ind w:left="561" w:hangingChars="200" w:hanging="561"/>
        <w:jc w:val="both"/>
        <w:rPr>
          <w:rFonts w:ascii="標楷體" w:eastAsia="標楷體" w:hAnsi="標楷體"/>
          <w:b/>
          <w:bCs/>
          <w:kern w:val="0"/>
          <w:sz w:val="28"/>
          <w:szCs w:val="28"/>
          <w:shd w:val="pct15" w:color="auto" w:fill="FFFFFF"/>
        </w:rPr>
      </w:pPr>
      <w:r w:rsidRPr="00134B54">
        <w:rPr>
          <w:rFonts w:ascii="標楷體" w:eastAsia="標楷體" w:hAnsi="標楷體" w:hint="eastAsia"/>
          <w:b/>
          <w:bCs/>
          <w:sz w:val="28"/>
          <w:szCs w:val="28"/>
        </w:rPr>
        <w:t>二、財團法人法律扶助基金會11</w:t>
      </w:r>
      <w:r w:rsidRPr="00134B54">
        <w:rPr>
          <w:rFonts w:ascii="標楷體" w:eastAsia="標楷體" w:hAnsi="標楷體"/>
          <w:b/>
          <w:bCs/>
          <w:sz w:val="28"/>
          <w:szCs w:val="28"/>
        </w:rPr>
        <w:t>5</w:t>
      </w:r>
      <w:r w:rsidRPr="00134B54">
        <w:rPr>
          <w:rFonts w:ascii="標楷體" w:eastAsia="標楷體" w:hAnsi="標楷體" w:hint="eastAsia"/>
          <w:b/>
          <w:bCs/>
          <w:sz w:val="28"/>
          <w:szCs w:val="28"/>
        </w:rPr>
        <w:t>年度預算書案</w:t>
      </w:r>
      <w:r w:rsidRPr="00134B54">
        <w:rPr>
          <w:rFonts w:ascii="標楷體" w:eastAsia="標楷體" w:hAnsi="標楷體"/>
          <w:b/>
          <w:bCs/>
          <w:sz w:val="28"/>
          <w:szCs w:val="28"/>
          <w:shd w:val="clear" w:color="auto" w:fill="FFFFFF"/>
        </w:rPr>
        <w:t>：</w:t>
      </w:r>
    </w:p>
    <w:p w14:paraId="6F591E2C" w14:textId="77777777" w:rsidR="00356512" w:rsidRPr="00134B54" w:rsidRDefault="00356512" w:rsidP="00356512">
      <w:pPr>
        <w:adjustRightInd w:val="0"/>
        <w:snapToGrid w:val="0"/>
        <w:spacing w:line="380" w:lineRule="exact"/>
        <w:ind w:left="602" w:hangingChars="215" w:hanging="602"/>
        <w:jc w:val="both"/>
        <w:rPr>
          <w:rFonts w:ascii="標楷體" w:eastAsia="標楷體" w:hAnsi="標楷體"/>
          <w:sz w:val="28"/>
          <w:szCs w:val="28"/>
        </w:rPr>
      </w:pPr>
      <w:r w:rsidRPr="00134B54">
        <w:rPr>
          <w:rFonts w:ascii="標楷體" w:eastAsia="標楷體" w:hAnsi="標楷體"/>
          <w:sz w:val="28"/>
          <w:szCs w:val="28"/>
          <w:shd w:val="clear" w:color="auto" w:fill="FFFFFF"/>
        </w:rPr>
        <w:t>(一)業務計畫：應依據業務收支、轉投資、固定資產</w:t>
      </w:r>
      <w:r w:rsidRPr="00134B54">
        <w:rPr>
          <w:rFonts w:ascii="標楷體" w:eastAsia="標楷體" w:hAnsi="標楷體" w:hint="eastAsia"/>
          <w:sz w:val="28"/>
          <w:szCs w:val="28"/>
          <w:shd w:val="clear" w:color="auto" w:fill="FFFFFF"/>
        </w:rPr>
        <w:t>投資</w:t>
      </w:r>
      <w:r w:rsidRPr="00134B54">
        <w:rPr>
          <w:rFonts w:ascii="標楷體" w:eastAsia="標楷體" w:hAnsi="標楷體"/>
          <w:sz w:val="28"/>
          <w:szCs w:val="28"/>
          <w:shd w:val="clear" w:color="auto" w:fill="FFFFFF"/>
        </w:rPr>
        <w:t>及資金運用等項之審查結果，隨同調整。</w:t>
      </w:r>
    </w:p>
    <w:p w14:paraId="48E765C3" w14:textId="77777777" w:rsidR="00356512" w:rsidRPr="00134B54" w:rsidRDefault="00356512" w:rsidP="00356512">
      <w:pPr>
        <w:adjustRightInd w:val="0"/>
        <w:snapToGrid w:val="0"/>
        <w:spacing w:line="380" w:lineRule="exact"/>
        <w:ind w:left="280" w:hangingChars="100" w:hanging="280"/>
        <w:jc w:val="both"/>
        <w:rPr>
          <w:rFonts w:ascii="標楷體" w:eastAsia="標楷體" w:hAnsi="標楷體"/>
          <w:sz w:val="28"/>
          <w:szCs w:val="28"/>
        </w:rPr>
      </w:pPr>
      <w:r w:rsidRPr="00134B54">
        <w:rPr>
          <w:rFonts w:ascii="標楷體" w:eastAsia="標楷體" w:hAnsi="標楷體"/>
          <w:sz w:val="28"/>
          <w:szCs w:val="28"/>
        </w:rPr>
        <w:t>(</w:t>
      </w:r>
      <w:r w:rsidRPr="00134B54">
        <w:rPr>
          <w:rFonts w:ascii="標楷體" w:eastAsia="標楷體" w:hAnsi="標楷體" w:hint="eastAsia"/>
          <w:sz w:val="28"/>
          <w:szCs w:val="28"/>
        </w:rPr>
        <w:t>二</w:t>
      </w:r>
      <w:r w:rsidRPr="00134B54">
        <w:rPr>
          <w:rFonts w:ascii="標楷體" w:eastAsia="標楷體" w:hAnsi="標楷體"/>
          <w:sz w:val="28"/>
          <w:szCs w:val="28"/>
        </w:rPr>
        <w:t>)收支</w:t>
      </w:r>
      <w:r w:rsidRPr="00134B54">
        <w:rPr>
          <w:rFonts w:ascii="標楷體" w:eastAsia="標楷體" w:hAnsi="標楷體" w:hint="eastAsia"/>
          <w:sz w:val="28"/>
          <w:szCs w:val="28"/>
        </w:rPr>
        <w:t>預算</w:t>
      </w:r>
      <w:r w:rsidRPr="00134B54">
        <w:rPr>
          <w:rFonts w:ascii="標楷體" w:eastAsia="標楷體" w:hAnsi="標楷體"/>
          <w:sz w:val="28"/>
          <w:szCs w:val="28"/>
        </w:rPr>
        <w:t>：</w:t>
      </w:r>
    </w:p>
    <w:p w14:paraId="7037B358" w14:textId="77777777" w:rsidR="00356512" w:rsidRPr="00134B54" w:rsidRDefault="00356512" w:rsidP="00356512">
      <w:pPr>
        <w:adjustRightInd w:val="0"/>
        <w:snapToGrid w:val="0"/>
        <w:spacing w:line="380" w:lineRule="exact"/>
        <w:ind w:leftChars="221" w:left="1230" w:hangingChars="250" w:hanging="700"/>
        <w:jc w:val="both"/>
        <w:rPr>
          <w:rFonts w:ascii="標楷體" w:eastAsia="標楷體" w:hAnsi="標楷體"/>
          <w:sz w:val="28"/>
          <w:szCs w:val="28"/>
        </w:rPr>
      </w:pPr>
      <w:r w:rsidRPr="00134B54">
        <w:rPr>
          <w:rFonts w:ascii="標楷體" w:eastAsia="標楷體" w:hAnsi="標楷體" w:hint="eastAsia"/>
          <w:sz w:val="28"/>
          <w:szCs w:val="28"/>
        </w:rPr>
        <w:t>1.</w:t>
      </w:r>
      <w:r w:rsidRPr="00134B54">
        <w:rPr>
          <w:rFonts w:ascii="標楷體" w:eastAsia="標楷體" w:hAnsi="標楷體"/>
          <w:sz w:val="28"/>
          <w:szCs w:val="28"/>
        </w:rPr>
        <w:t>總收入：</w:t>
      </w:r>
      <w:r w:rsidRPr="00134B54">
        <w:rPr>
          <w:rFonts w:ascii="標楷體" w:eastAsia="標楷體" w:hAnsi="標楷體" w:hint="eastAsia"/>
          <w:sz w:val="28"/>
          <w:szCs w:val="28"/>
        </w:rPr>
        <w:t>16億8,820萬8千元，</w:t>
      </w:r>
      <w:r w:rsidRPr="00134B54">
        <w:rPr>
          <w:rFonts w:ascii="標楷體" w:eastAsia="標楷體" w:hAnsi="標楷體"/>
          <w:sz w:val="28"/>
          <w:szCs w:val="28"/>
        </w:rPr>
        <w:t>照列。</w:t>
      </w:r>
    </w:p>
    <w:p w14:paraId="23E81814" w14:textId="13857DF8" w:rsidR="00356512" w:rsidRPr="00134B54" w:rsidRDefault="00356512" w:rsidP="00F17988">
      <w:pPr>
        <w:adjustRightInd w:val="0"/>
        <w:snapToGrid w:val="0"/>
        <w:spacing w:line="380" w:lineRule="exact"/>
        <w:ind w:leftChars="221" w:left="810" w:hangingChars="100" w:hanging="280"/>
        <w:jc w:val="both"/>
        <w:rPr>
          <w:rFonts w:ascii="標楷體" w:eastAsia="標楷體" w:hAnsi="標楷體"/>
          <w:color w:val="FF0000"/>
          <w:sz w:val="28"/>
          <w:szCs w:val="28"/>
        </w:rPr>
      </w:pPr>
      <w:r w:rsidRPr="00134B54">
        <w:rPr>
          <w:rFonts w:ascii="標楷體" w:eastAsia="標楷體" w:hAnsi="標楷體" w:hint="eastAsia"/>
          <w:sz w:val="28"/>
          <w:szCs w:val="28"/>
        </w:rPr>
        <w:t>2.</w:t>
      </w:r>
      <w:r w:rsidRPr="00134B54">
        <w:rPr>
          <w:rFonts w:ascii="標楷體" w:eastAsia="標楷體" w:hAnsi="標楷體"/>
          <w:sz w:val="28"/>
          <w:szCs w:val="28"/>
        </w:rPr>
        <w:t>總支出：</w:t>
      </w:r>
      <w:r w:rsidR="00E20AD7" w:rsidRPr="00134B54">
        <w:rPr>
          <w:rFonts w:ascii="標楷體" w:eastAsia="標楷體" w:hAnsi="標楷體" w:hint="eastAsia"/>
          <w:sz w:val="28"/>
          <w:szCs w:val="28"/>
        </w:rPr>
        <w:t>原列</w:t>
      </w:r>
      <w:bookmarkStart w:id="33" w:name="_Hlk230028989"/>
      <w:r w:rsidRPr="00134B54">
        <w:rPr>
          <w:rFonts w:ascii="標楷體" w:eastAsia="標楷體" w:hAnsi="標楷體" w:hint="eastAsia"/>
          <w:sz w:val="28"/>
          <w:szCs w:val="28"/>
        </w:rPr>
        <w:t>16億8,820萬8千元</w:t>
      </w:r>
      <w:bookmarkEnd w:id="33"/>
      <w:r w:rsidRPr="00134B54">
        <w:rPr>
          <w:rFonts w:ascii="標楷體" w:eastAsia="標楷體" w:hAnsi="標楷體" w:hint="eastAsia"/>
          <w:sz w:val="28"/>
          <w:szCs w:val="28"/>
        </w:rPr>
        <w:t>，</w:t>
      </w:r>
      <w:r w:rsidR="00E20AD7" w:rsidRPr="00134B54">
        <w:rPr>
          <w:rFonts w:ascii="標楷體" w:eastAsia="標楷體" w:hAnsi="標楷體" w:hint="eastAsia"/>
          <w:sz w:val="28"/>
          <w:szCs w:val="28"/>
        </w:rPr>
        <w:t>減列</w:t>
      </w:r>
      <w:r w:rsidR="00E529A2" w:rsidRPr="00134B54">
        <w:rPr>
          <w:rFonts w:ascii="標楷體" w:eastAsia="標楷體" w:hAnsi="標楷體" w:hint="eastAsia"/>
          <w:sz w:val="28"/>
          <w:szCs w:val="28"/>
        </w:rPr>
        <w:t>「業務成本與費用」項下</w:t>
      </w:r>
      <w:r w:rsidR="00E20AD7" w:rsidRPr="00134B54">
        <w:rPr>
          <w:rFonts w:ascii="標楷體" w:eastAsia="標楷體" w:hAnsi="標楷體" w:hint="eastAsia"/>
          <w:sz w:val="28"/>
          <w:szCs w:val="28"/>
        </w:rPr>
        <w:t>「業務成本」</w:t>
      </w:r>
      <w:r w:rsidR="00E529A2" w:rsidRPr="00134B54">
        <w:rPr>
          <w:rFonts w:ascii="標楷體" w:eastAsia="標楷體" w:hAnsi="標楷體" w:hint="eastAsia"/>
          <w:sz w:val="28"/>
          <w:szCs w:val="28"/>
        </w:rPr>
        <w:t>中</w:t>
      </w:r>
      <w:r w:rsidR="00E20AD7" w:rsidRPr="00134B54">
        <w:rPr>
          <w:rFonts w:ascii="標楷體" w:eastAsia="標楷體" w:hAnsi="標楷體" w:hint="eastAsia"/>
          <w:sz w:val="28"/>
          <w:szCs w:val="28"/>
        </w:rPr>
        <w:t>「用人成本」500萬元，其餘均照列，改列為16億8,320萬8千元。</w:t>
      </w:r>
      <w:r w:rsidR="00F17988" w:rsidRPr="00134B54">
        <w:rPr>
          <w:rFonts w:ascii="標楷體" w:eastAsia="標楷體" w:hAnsi="標楷體"/>
          <w:color w:val="000000"/>
          <w:sz w:val="28"/>
          <w:szCs w:val="28"/>
        </w:rPr>
        <w:t>【</w:t>
      </w:r>
      <w:r w:rsidR="00F17988" w:rsidRPr="00134B54">
        <w:rPr>
          <w:rFonts w:ascii="標楷體" w:eastAsia="標楷體" w:hAnsi="標楷體" w:hint="eastAsia"/>
          <w:color w:val="000000"/>
          <w:sz w:val="28"/>
          <w:szCs w:val="28"/>
        </w:rPr>
        <w:t>4</w:t>
      </w:r>
      <w:r w:rsidR="00F17988" w:rsidRPr="00134B54">
        <w:rPr>
          <w:rFonts w:ascii="標楷體" w:eastAsia="標楷體" w:hAnsi="標楷體"/>
          <w:color w:val="000000"/>
          <w:sz w:val="28"/>
          <w:szCs w:val="28"/>
        </w:rPr>
        <w:t>】</w:t>
      </w:r>
    </w:p>
    <w:p w14:paraId="19F07A54" w14:textId="2029A820" w:rsidR="00356512" w:rsidRPr="00134B54" w:rsidRDefault="00356512" w:rsidP="00356512">
      <w:pPr>
        <w:adjustRightInd w:val="0"/>
        <w:snapToGrid w:val="0"/>
        <w:spacing w:line="380" w:lineRule="exact"/>
        <w:ind w:leftChars="221" w:left="1230" w:hangingChars="250" w:hanging="700"/>
        <w:jc w:val="both"/>
        <w:rPr>
          <w:rFonts w:ascii="標楷體" w:eastAsia="標楷體" w:hAnsi="標楷體"/>
          <w:sz w:val="28"/>
          <w:szCs w:val="28"/>
        </w:rPr>
      </w:pPr>
      <w:r w:rsidRPr="00134B54">
        <w:rPr>
          <w:rFonts w:ascii="標楷體" w:eastAsia="標楷體" w:hAnsi="標楷體" w:hint="eastAsia"/>
          <w:sz w:val="28"/>
          <w:szCs w:val="28"/>
        </w:rPr>
        <w:t>3.</w:t>
      </w:r>
      <w:r w:rsidRPr="00134B54">
        <w:rPr>
          <w:rFonts w:ascii="標楷體" w:eastAsia="標楷體" w:hAnsi="標楷體"/>
          <w:sz w:val="28"/>
          <w:szCs w:val="28"/>
        </w:rPr>
        <w:t>本期</w:t>
      </w:r>
      <w:r w:rsidR="000E3B0C" w:rsidRPr="00134B54">
        <w:rPr>
          <w:rFonts w:ascii="標楷體" w:eastAsia="標楷體" w:hAnsi="標楷體" w:hint="eastAsia"/>
          <w:sz w:val="28"/>
          <w:szCs w:val="28"/>
        </w:rPr>
        <w:t>賸</w:t>
      </w:r>
      <w:r w:rsidRPr="00134B54">
        <w:rPr>
          <w:rFonts w:ascii="標楷體" w:eastAsia="標楷體" w:hAnsi="標楷體"/>
          <w:sz w:val="28"/>
          <w:szCs w:val="28"/>
        </w:rPr>
        <w:t>餘：</w:t>
      </w:r>
      <w:r w:rsidR="00E20AD7" w:rsidRPr="00134B54">
        <w:rPr>
          <w:rFonts w:ascii="標楷體" w:eastAsia="標楷體" w:hAnsi="標楷體" w:hint="eastAsia"/>
          <w:sz w:val="28"/>
          <w:szCs w:val="28"/>
        </w:rPr>
        <w:t>原列0元，</w:t>
      </w:r>
      <w:bookmarkStart w:id="34" w:name="_Hlk230028858"/>
      <w:r w:rsidR="000E3B0C" w:rsidRPr="00134B54">
        <w:rPr>
          <w:rFonts w:ascii="標楷體" w:eastAsia="標楷體" w:hAnsi="標楷體" w:hint="eastAsia"/>
          <w:sz w:val="28"/>
          <w:szCs w:val="28"/>
        </w:rPr>
        <w:t>增</w:t>
      </w:r>
      <w:r w:rsidR="00E20AD7" w:rsidRPr="00134B54">
        <w:rPr>
          <w:rFonts w:ascii="標楷體" w:eastAsia="標楷體" w:hAnsi="標楷體" w:hint="eastAsia"/>
          <w:sz w:val="28"/>
          <w:szCs w:val="28"/>
        </w:rPr>
        <w:t>列500萬元，改列為500萬元。</w:t>
      </w:r>
      <w:bookmarkEnd w:id="34"/>
    </w:p>
    <w:p w14:paraId="3991B1CC" w14:textId="77777777" w:rsidR="00356512" w:rsidRPr="00134B54" w:rsidRDefault="00356512" w:rsidP="00356512">
      <w:pPr>
        <w:adjustRightInd w:val="0"/>
        <w:snapToGrid w:val="0"/>
        <w:spacing w:line="380" w:lineRule="exact"/>
        <w:ind w:left="280" w:hangingChars="100" w:hanging="280"/>
        <w:jc w:val="both"/>
        <w:rPr>
          <w:rFonts w:ascii="標楷體" w:eastAsia="標楷體" w:hAnsi="標楷體"/>
          <w:sz w:val="28"/>
          <w:szCs w:val="28"/>
        </w:rPr>
      </w:pPr>
      <w:r w:rsidRPr="00134B54">
        <w:rPr>
          <w:rFonts w:ascii="標楷體" w:eastAsia="標楷體" w:hAnsi="標楷體" w:hint="eastAsia"/>
          <w:sz w:val="28"/>
          <w:szCs w:val="28"/>
        </w:rPr>
        <w:t>(三)</w:t>
      </w:r>
      <w:r w:rsidRPr="00134B54">
        <w:rPr>
          <w:rFonts w:ascii="標楷體" w:eastAsia="標楷體" w:hAnsi="標楷體"/>
          <w:sz w:val="28"/>
          <w:szCs w:val="28"/>
        </w:rPr>
        <w:t>解繳</w:t>
      </w:r>
      <w:r w:rsidRPr="00134B54">
        <w:rPr>
          <w:rFonts w:ascii="標楷體" w:eastAsia="標楷體" w:hAnsi="標楷體" w:hint="eastAsia"/>
          <w:sz w:val="28"/>
          <w:szCs w:val="28"/>
        </w:rPr>
        <w:t>公</w:t>
      </w:r>
      <w:r w:rsidRPr="00134B54">
        <w:rPr>
          <w:rFonts w:ascii="標楷體" w:eastAsia="標楷體" w:hAnsi="標楷體"/>
          <w:sz w:val="28"/>
          <w:szCs w:val="28"/>
        </w:rPr>
        <w:t>庫淨額：無列數。</w:t>
      </w:r>
    </w:p>
    <w:p w14:paraId="255EAB50" w14:textId="77777777" w:rsidR="00356512" w:rsidRPr="00134B54" w:rsidRDefault="00356512" w:rsidP="00356512">
      <w:pPr>
        <w:adjustRightInd w:val="0"/>
        <w:snapToGrid w:val="0"/>
        <w:spacing w:line="380" w:lineRule="exact"/>
        <w:ind w:left="280" w:hangingChars="100" w:hanging="280"/>
        <w:jc w:val="both"/>
        <w:rPr>
          <w:rFonts w:ascii="標楷體" w:eastAsia="標楷體" w:hAnsi="標楷體"/>
          <w:sz w:val="28"/>
          <w:szCs w:val="28"/>
        </w:rPr>
      </w:pPr>
      <w:r w:rsidRPr="00134B54">
        <w:rPr>
          <w:rFonts w:ascii="標楷體" w:eastAsia="標楷體" w:hAnsi="標楷體" w:hint="eastAsia"/>
          <w:sz w:val="28"/>
          <w:szCs w:val="28"/>
        </w:rPr>
        <w:t>(四)</w:t>
      </w:r>
      <w:r w:rsidRPr="00134B54">
        <w:rPr>
          <w:rFonts w:ascii="標楷體" w:eastAsia="標楷體" w:hAnsi="標楷體"/>
          <w:sz w:val="28"/>
          <w:szCs w:val="28"/>
        </w:rPr>
        <w:t>轉投資計畫：無列數。</w:t>
      </w:r>
    </w:p>
    <w:p w14:paraId="3BDEEB7D" w14:textId="77777777" w:rsidR="00356512" w:rsidRPr="00134B54" w:rsidRDefault="00356512" w:rsidP="00356512">
      <w:pPr>
        <w:adjustRightInd w:val="0"/>
        <w:snapToGrid w:val="0"/>
        <w:spacing w:line="380" w:lineRule="exact"/>
        <w:ind w:left="1319" w:hangingChars="471" w:hanging="1319"/>
        <w:jc w:val="both"/>
        <w:rPr>
          <w:rFonts w:ascii="標楷體" w:eastAsia="標楷體" w:hAnsi="標楷體"/>
          <w:sz w:val="28"/>
          <w:szCs w:val="28"/>
        </w:rPr>
      </w:pPr>
      <w:r w:rsidRPr="00134B54">
        <w:rPr>
          <w:rFonts w:ascii="標楷體" w:eastAsia="標楷體" w:hAnsi="標楷體" w:hint="eastAsia"/>
          <w:sz w:val="28"/>
          <w:szCs w:val="28"/>
        </w:rPr>
        <w:t>(</w:t>
      </w:r>
      <w:r w:rsidRPr="00134B54">
        <w:rPr>
          <w:rFonts w:ascii="標楷體" w:eastAsia="標楷體" w:hAnsi="標楷體"/>
          <w:sz w:val="28"/>
          <w:szCs w:val="28"/>
        </w:rPr>
        <w:t>五</w:t>
      </w:r>
      <w:r w:rsidRPr="00134B54">
        <w:rPr>
          <w:rFonts w:ascii="標楷體" w:eastAsia="標楷體" w:hAnsi="標楷體" w:hint="eastAsia"/>
          <w:sz w:val="28"/>
          <w:szCs w:val="28"/>
        </w:rPr>
        <w:t>)固定資產投資</w:t>
      </w:r>
      <w:r w:rsidRPr="00134B54">
        <w:rPr>
          <w:rFonts w:ascii="標楷體" w:eastAsia="標楷體" w:hAnsi="標楷體"/>
          <w:sz w:val="28"/>
          <w:szCs w:val="28"/>
        </w:rPr>
        <w:t>：</w:t>
      </w:r>
      <w:r w:rsidRPr="00134B54">
        <w:rPr>
          <w:rFonts w:ascii="標楷體" w:eastAsia="標楷體" w:hAnsi="標楷體" w:hint="eastAsia"/>
          <w:sz w:val="28"/>
          <w:szCs w:val="28"/>
        </w:rPr>
        <w:t>3,132萬元</w:t>
      </w:r>
      <w:r w:rsidRPr="00134B54">
        <w:rPr>
          <w:rFonts w:ascii="標楷體" w:eastAsia="標楷體" w:hAnsi="標楷體"/>
          <w:sz w:val="28"/>
          <w:szCs w:val="28"/>
        </w:rPr>
        <w:t>，照列。</w:t>
      </w:r>
    </w:p>
    <w:p w14:paraId="71FCE290" w14:textId="77777777" w:rsidR="00356512" w:rsidRPr="00134B54" w:rsidRDefault="00356512" w:rsidP="00356512">
      <w:pPr>
        <w:adjustRightInd w:val="0"/>
        <w:snapToGrid w:val="0"/>
        <w:spacing w:line="380" w:lineRule="exact"/>
        <w:ind w:left="1319" w:hangingChars="471" w:hanging="1319"/>
        <w:jc w:val="both"/>
        <w:rPr>
          <w:rFonts w:ascii="標楷體" w:eastAsia="標楷體" w:hAnsi="標楷體"/>
          <w:sz w:val="28"/>
          <w:szCs w:val="28"/>
        </w:rPr>
      </w:pPr>
      <w:r w:rsidRPr="00134B54">
        <w:rPr>
          <w:rFonts w:ascii="標楷體" w:eastAsia="標楷體" w:hAnsi="標楷體" w:hint="eastAsia"/>
          <w:sz w:val="28"/>
          <w:szCs w:val="28"/>
        </w:rPr>
        <w:t>(</w:t>
      </w:r>
      <w:r w:rsidRPr="00134B54">
        <w:rPr>
          <w:rFonts w:ascii="標楷體" w:eastAsia="標楷體" w:hAnsi="標楷體"/>
          <w:sz w:val="28"/>
          <w:szCs w:val="28"/>
        </w:rPr>
        <w:t>六</w:t>
      </w:r>
      <w:r w:rsidRPr="00134B54">
        <w:rPr>
          <w:rFonts w:ascii="標楷體" w:eastAsia="標楷體" w:hAnsi="標楷體" w:hint="eastAsia"/>
          <w:sz w:val="28"/>
          <w:szCs w:val="28"/>
        </w:rPr>
        <w:t>)</w:t>
      </w:r>
      <w:r w:rsidRPr="00134B54">
        <w:rPr>
          <w:rFonts w:ascii="標楷體" w:eastAsia="標楷體" w:hAnsi="標楷體"/>
          <w:sz w:val="28"/>
          <w:szCs w:val="28"/>
        </w:rPr>
        <w:t>國庫增撥基金額：</w:t>
      </w:r>
      <w:r w:rsidRPr="00134B54">
        <w:rPr>
          <w:rFonts w:ascii="標楷體" w:eastAsia="標楷體" w:hAnsi="標楷體" w:hint="eastAsia"/>
          <w:sz w:val="28"/>
          <w:szCs w:val="28"/>
        </w:rPr>
        <w:t>2,000萬元，照列</w:t>
      </w:r>
      <w:r w:rsidRPr="00134B54">
        <w:rPr>
          <w:rFonts w:ascii="標楷體" w:eastAsia="標楷體" w:hAnsi="標楷體"/>
          <w:sz w:val="28"/>
          <w:szCs w:val="28"/>
        </w:rPr>
        <w:t>。</w:t>
      </w:r>
    </w:p>
    <w:p w14:paraId="0D8CAB72" w14:textId="1C328AE2" w:rsidR="00356512" w:rsidRPr="006D0340" w:rsidRDefault="00356512" w:rsidP="00356512">
      <w:pPr>
        <w:spacing w:line="380" w:lineRule="exact"/>
        <w:ind w:leftChars="6" w:left="610" w:hangingChars="213" w:hanging="596"/>
        <w:rPr>
          <w:rFonts w:ascii="標楷體" w:eastAsia="標楷體" w:hAnsi="標楷體"/>
          <w:bCs/>
          <w:sz w:val="28"/>
          <w:szCs w:val="28"/>
        </w:rPr>
      </w:pPr>
      <w:r w:rsidRPr="006D0340">
        <w:rPr>
          <w:rFonts w:ascii="標楷體" w:eastAsia="標楷體" w:hAnsi="標楷體" w:hint="eastAsia"/>
          <w:bCs/>
          <w:sz w:val="28"/>
          <w:szCs w:val="28"/>
        </w:rPr>
        <w:t>(七)</w:t>
      </w:r>
      <w:r w:rsidRPr="006D0340">
        <w:rPr>
          <w:rFonts w:ascii="標楷體" w:eastAsia="標楷體" w:hAnsi="標楷體" w:hint="eastAsia"/>
          <w:b/>
          <w:sz w:val="28"/>
          <w:szCs w:val="28"/>
        </w:rPr>
        <w:t>通過決議</w:t>
      </w:r>
      <w:r w:rsidR="002E2483" w:rsidRPr="006D0340">
        <w:rPr>
          <w:rFonts w:ascii="標楷體" w:eastAsia="標楷體" w:hAnsi="標楷體" w:hint="eastAsia"/>
          <w:b/>
          <w:sz w:val="28"/>
          <w:szCs w:val="28"/>
        </w:rPr>
        <w:t>2</w:t>
      </w:r>
      <w:r w:rsidRPr="006D0340">
        <w:rPr>
          <w:rFonts w:ascii="標楷體" w:eastAsia="標楷體" w:hAnsi="標楷體" w:hint="eastAsia"/>
          <w:b/>
          <w:sz w:val="28"/>
          <w:szCs w:val="28"/>
        </w:rPr>
        <w:t>項：</w:t>
      </w:r>
    </w:p>
    <w:p w14:paraId="35018ABA" w14:textId="6244829C" w:rsidR="00F357BA" w:rsidRPr="00134B54" w:rsidRDefault="00356512" w:rsidP="00DB73B5">
      <w:pPr>
        <w:spacing w:line="380" w:lineRule="exact"/>
        <w:ind w:leftChars="250" w:left="880" w:hangingChars="100" w:hanging="280"/>
        <w:jc w:val="both"/>
        <w:rPr>
          <w:rFonts w:ascii="標楷體" w:eastAsia="標楷體" w:hAnsi="標楷體"/>
          <w:sz w:val="28"/>
          <w:szCs w:val="28"/>
        </w:rPr>
      </w:pPr>
      <w:r w:rsidRPr="00134B54">
        <w:rPr>
          <w:rFonts w:ascii="標楷體" w:eastAsia="標楷體" w:hAnsi="標楷體" w:hint="eastAsia"/>
          <w:sz w:val="28"/>
          <w:szCs w:val="28"/>
        </w:rPr>
        <w:t>1.</w:t>
      </w:r>
      <w:r w:rsidR="00F357BA" w:rsidRPr="00134B54">
        <w:rPr>
          <w:rFonts w:ascii="標楷體" w:eastAsia="標楷體" w:hAnsi="標楷體" w:hint="eastAsia"/>
          <w:sz w:val="28"/>
          <w:szCs w:val="28"/>
        </w:rPr>
        <w:t>財團法人法律扶助基金會</w:t>
      </w:r>
      <w:r w:rsidR="002E2483" w:rsidRPr="00134B54">
        <w:rPr>
          <w:rFonts w:ascii="標楷體" w:eastAsia="標楷體" w:hAnsi="標楷體" w:hint="eastAsia"/>
          <w:sz w:val="28"/>
          <w:szCs w:val="28"/>
        </w:rPr>
        <w:t>115年度</w:t>
      </w:r>
      <w:r w:rsidR="00F357BA" w:rsidRPr="00134B54">
        <w:rPr>
          <w:rFonts w:ascii="標楷體" w:eastAsia="標楷體" w:hAnsi="標楷體" w:hint="eastAsia"/>
          <w:sz w:val="28"/>
          <w:szCs w:val="28"/>
        </w:rPr>
        <w:t>預算</w:t>
      </w:r>
      <w:r w:rsidR="002E2483" w:rsidRPr="00134B54">
        <w:rPr>
          <w:rFonts w:ascii="標楷體" w:eastAsia="標楷體" w:hAnsi="標楷體" w:hint="eastAsia"/>
          <w:sz w:val="28"/>
          <w:szCs w:val="28"/>
        </w:rPr>
        <w:t>書</w:t>
      </w:r>
      <w:r w:rsidR="00F357BA" w:rsidRPr="00134B54">
        <w:rPr>
          <w:rFonts w:ascii="標楷體" w:eastAsia="標楷體" w:hAnsi="標楷體" w:hint="eastAsia"/>
          <w:sz w:val="28"/>
          <w:szCs w:val="28"/>
        </w:rPr>
        <w:t>案於</w:t>
      </w:r>
      <w:r w:rsidR="001850E8" w:rsidRPr="00134B54">
        <w:rPr>
          <w:rFonts w:ascii="標楷體" w:eastAsia="標楷體" w:hAnsi="標楷體" w:hint="eastAsia"/>
          <w:sz w:val="28"/>
          <w:szCs w:val="28"/>
        </w:rPr>
        <w:t>「業務成本與費用」項下</w:t>
      </w:r>
      <w:r w:rsidR="00F357BA" w:rsidRPr="00134B54">
        <w:rPr>
          <w:rFonts w:ascii="標楷體" w:eastAsia="標楷體" w:hAnsi="標楷體" w:hint="eastAsia"/>
          <w:sz w:val="28"/>
          <w:szCs w:val="28"/>
        </w:rPr>
        <w:t>「法律扶助成本」編列9億4,193萬6千元，</w:t>
      </w:r>
      <w:r w:rsidR="00DB73B5" w:rsidRPr="00134B54">
        <w:rPr>
          <w:rFonts w:ascii="標楷體" w:eastAsia="標楷體" w:hAnsi="標楷體" w:hint="eastAsia"/>
          <w:sz w:val="28"/>
          <w:szCs w:val="28"/>
        </w:rPr>
        <w:t>凍結6,000萬元，俟向立法院司法及法制委員會提出書面報告後，始得動</w:t>
      </w:r>
      <w:r w:rsidR="00DB73B5" w:rsidRPr="00134B54">
        <w:rPr>
          <w:rFonts w:ascii="標楷體" w:eastAsia="標楷體" w:hAnsi="標楷體" w:hint="eastAsia"/>
          <w:sz w:val="28"/>
          <w:szCs w:val="28"/>
        </w:rPr>
        <w:lastRenderedPageBreak/>
        <w:t>支。【1、2】</w:t>
      </w:r>
    </w:p>
    <w:p w14:paraId="317A34C2" w14:textId="77777777" w:rsidR="00FE301D" w:rsidRPr="00134B54" w:rsidRDefault="00FE301D" w:rsidP="00FE301D">
      <w:pPr>
        <w:snapToGrid w:val="0"/>
        <w:ind w:leftChars="1500" w:left="4776" w:hangingChars="420" w:hanging="1176"/>
        <w:jc w:val="both"/>
        <w:rPr>
          <w:rFonts w:ascii="標楷體" w:eastAsia="標楷體" w:hAnsi="標楷體"/>
          <w:color w:val="000000"/>
          <w:sz w:val="28"/>
          <w:szCs w:val="28"/>
        </w:rPr>
      </w:pPr>
      <w:bookmarkStart w:id="35" w:name="_Hlk230030085"/>
      <w:r w:rsidRPr="00134B54">
        <w:rPr>
          <w:rFonts w:ascii="標楷體" w:eastAsia="標楷體" w:hAnsi="標楷體"/>
          <w:color w:val="000000"/>
          <w:sz w:val="28"/>
          <w:szCs w:val="28"/>
        </w:rPr>
        <w:t>提案人：許宇甄</w:t>
      </w:r>
    </w:p>
    <w:p w14:paraId="3846BF3C" w14:textId="77777777" w:rsidR="00FE301D" w:rsidRPr="00134B54" w:rsidRDefault="00FE301D" w:rsidP="00FE301D">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連署人：翁曉玲　林沛祥</w:t>
      </w:r>
    </w:p>
    <w:bookmarkEnd w:id="35"/>
    <w:p w14:paraId="773394EA" w14:textId="730A6831" w:rsidR="005F5295" w:rsidRPr="00134B54" w:rsidRDefault="00356512" w:rsidP="005F5295">
      <w:pPr>
        <w:spacing w:line="380" w:lineRule="exact"/>
        <w:ind w:leftChars="250" w:left="880" w:hangingChars="100" w:hanging="280"/>
        <w:jc w:val="both"/>
        <w:rPr>
          <w:rFonts w:ascii="標楷體" w:eastAsia="標楷體" w:hAnsi="標楷體"/>
          <w:sz w:val="28"/>
          <w:szCs w:val="28"/>
        </w:rPr>
      </w:pPr>
      <w:r w:rsidRPr="00134B54">
        <w:rPr>
          <w:rFonts w:ascii="標楷體" w:eastAsia="標楷體" w:hAnsi="標楷體" w:hint="eastAsia"/>
          <w:sz w:val="28"/>
          <w:szCs w:val="28"/>
        </w:rPr>
        <w:t>2.</w:t>
      </w:r>
      <w:r w:rsidR="005F5295" w:rsidRPr="00134B54">
        <w:rPr>
          <w:rFonts w:ascii="標楷體" w:eastAsia="標楷體" w:hAnsi="標楷體" w:hint="eastAsia"/>
          <w:sz w:val="28"/>
          <w:szCs w:val="28"/>
        </w:rPr>
        <w:t>財團法人法律扶助基金會</w:t>
      </w:r>
      <w:r w:rsidR="004E3515" w:rsidRPr="00134B54">
        <w:rPr>
          <w:rFonts w:ascii="標楷體" w:eastAsia="標楷體" w:hAnsi="標楷體" w:hint="eastAsia"/>
          <w:sz w:val="28"/>
          <w:szCs w:val="28"/>
        </w:rPr>
        <w:t>115年度</w:t>
      </w:r>
      <w:r w:rsidR="005F5295" w:rsidRPr="00134B54">
        <w:rPr>
          <w:rFonts w:ascii="標楷體" w:eastAsia="標楷體" w:hAnsi="標楷體" w:hint="eastAsia"/>
          <w:sz w:val="28"/>
          <w:szCs w:val="28"/>
        </w:rPr>
        <w:t>預算</w:t>
      </w:r>
      <w:r w:rsidR="004E3515" w:rsidRPr="00134B54">
        <w:rPr>
          <w:rFonts w:ascii="標楷體" w:eastAsia="標楷體" w:hAnsi="標楷體" w:hint="eastAsia"/>
          <w:sz w:val="28"/>
          <w:szCs w:val="28"/>
        </w:rPr>
        <w:t>書</w:t>
      </w:r>
      <w:r w:rsidR="005F5295" w:rsidRPr="00134B54">
        <w:rPr>
          <w:rFonts w:ascii="標楷體" w:eastAsia="標楷體" w:hAnsi="標楷體" w:hint="eastAsia"/>
          <w:sz w:val="28"/>
          <w:szCs w:val="28"/>
        </w:rPr>
        <w:t>案於</w:t>
      </w:r>
      <w:bookmarkStart w:id="36" w:name="_Hlk230029852"/>
      <w:r w:rsidR="005F5295" w:rsidRPr="00134B54">
        <w:rPr>
          <w:rFonts w:ascii="標楷體" w:eastAsia="標楷體" w:hAnsi="標楷體" w:hint="eastAsia"/>
          <w:sz w:val="28"/>
          <w:szCs w:val="28"/>
        </w:rPr>
        <w:t>「</w:t>
      </w:r>
      <w:r w:rsidR="001850E8" w:rsidRPr="00134B54">
        <w:rPr>
          <w:rFonts w:ascii="標楷體" w:eastAsia="標楷體" w:hAnsi="標楷體" w:hint="eastAsia"/>
          <w:sz w:val="28"/>
          <w:szCs w:val="28"/>
        </w:rPr>
        <w:t>業務成本與費用</w:t>
      </w:r>
      <w:r w:rsidR="005F5295" w:rsidRPr="00134B54">
        <w:rPr>
          <w:rFonts w:ascii="標楷體" w:eastAsia="標楷體" w:hAnsi="標楷體" w:hint="eastAsia"/>
          <w:sz w:val="28"/>
          <w:szCs w:val="28"/>
        </w:rPr>
        <w:t>」項下「</w:t>
      </w:r>
      <w:r w:rsidR="001850E8" w:rsidRPr="00134B54">
        <w:rPr>
          <w:rFonts w:ascii="標楷體" w:eastAsia="標楷體" w:hAnsi="標楷體" w:hint="eastAsia"/>
          <w:sz w:val="28"/>
          <w:szCs w:val="28"/>
        </w:rPr>
        <w:t>業務成本</w:t>
      </w:r>
      <w:r w:rsidR="005F5295" w:rsidRPr="00134B54">
        <w:rPr>
          <w:rFonts w:ascii="標楷體" w:eastAsia="標楷體" w:hAnsi="標楷體" w:hint="eastAsia"/>
          <w:sz w:val="28"/>
          <w:szCs w:val="28"/>
        </w:rPr>
        <w:t>」</w:t>
      </w:r>
      <w:bookmarkEnd w:id="36"/>
      <w:r w:rsidR="005F5295" w:rsidRPr="00134B54">
        <w:rPr>
          <w:rFonts w:ascii="標楷體" w:eastAsia="標楷體" w:hAnsi="標楷體" w:hint="eastAsia"/>
          <w:sz w:val="28"/>
          <w:szCs w:val="28"/>
        </w:rPr>
        <w:t>編列</w:t>
      </w:r>
      <w:r w:rsidR="001850E8" w:rsidRPr="00134B54">
        <w:rPr>
          <w:rFonts w:ascii="標楷體" w:eastAsia="標楷體" w:hAnsi="標楷體" w:hint="eastAsia"/>
          <w:sz w:val="28"/>
          <w:szCs w:val="28"/>
        </w:rPr>
        <w:t>3</w:t>
      </w:r>
      <w:r w:rsidR="005F5295" w:rsidRPr="00134B54">
        <w:rPr>
          <w:rFonts w:ascii="標楷體" w:eastAsia="標楷體" w:hAnsi="標楷體" w:hint="eastAsia"/>
          <w:sz w:val="28"/>
          <w:szCs w:val="28"/>
        </w:rPr>
        <w:t>億7,</w:t>
      </w:r>
      <w:r w:rsidR="001850E8" w:rsidRPr="00134B54">
        <w:rPr>
          <w:rFonts w:ascii="標楷體" w:eastAsia="標楷體" w:hAnsi="標楷體" w:hint="eastAsia"/>
          <w:sz w:val="28"/>
          <w:szCs w:val="28"/>
        </w:rPr>
        <w:t>121</w:t>
      </w:r>
      <w:r w:rsidR="005F5295" w:rsidRPr="00134B54">
        <w:rPr>
          <w:rFonts w:ascii="標楷體" w:eastAsia="標楷體" w:hAnsi="標楷體" w:hint="eastAsia"/>
          <w:sz w:val="28"/>
          <w:szCs w:val="28"/>
        </w:rPr>
        <w:t>萬</w:t>
      </w:r>
      <w:r w:rsidR="001850E8" w:rsidRPr="00134B54">
        <w:rPr>
          <w:rFonts w:ascii="標楷體" w:eastAsia="標楷體" w:hAnsi="標楷體" w:hint="eastAsia"/>
          <w:sz w:val="28"/>
          <w:szCs w:val="28"/>
        </w:rPr>
        <w:t>8千</w:t>
      </w:r>
      <w:r w:rsidR="005F5295" w:rsidRPr="00134B54">
        <w:rPr>
          <w:rFonts w:ascii="標楷體" w:eastAsia="標楷體" w:hAnsi="標楷體" w:hint="eastAsia"/>
          <w:sz w:val="28"/>
          <w:szCs w:val="28"/>
        </w:rPr>
        <w:t>元</w:t>
      </w:r>
      <w:r w:rsidR="00873189" w:rsidRPr="00134B54">
        <w:rPr>
          <w:rFonts w:ascii="標楷體" w:eastAsia="標楷體" w:hAnsi="標楷體" w:hint="eastAsia"/>
          <w:sz w:val="28"/>
          <w:szCs w:val="28"/>
        </w:rPr>
        <w:t>，凍結3,712萬2千元，俟向立法院司法及法制委員會提出書面報告後，始得動支。【3</w:t>
      </w:r>
      <w:r w:rsidR="0071304F" w:rsidRPr="00134B54">
        <w:rPr>
          <w:rFonts w:ascii="標楷體" w:eastAsia="標楷體" w:hAnsi="標楷體" w:hint="eastAsia"/>
          <w:sz w:val="28"/>
          <w:szCs w:val="28"/>
        </w:rPr>
        <w:t>-</w:t>
      </w:r>
      <w:r w:rsidR="00873189" w:rsidRPr="00134B54">
        <w:rPr>
          <w:rFonts w:ascii="標楷體" w:eastAsia="標楷體" w:hAnsi="標楷體" w:hint="eastAsia"/>
          <w:sz w:val="28"/>
          <w:szCs w:val="28"/>
        </w:rPr>
        <w:t>6】</w:t>
      </w:r>
    </w:p>
    <w:p w14:paraId="4EF7BE17" w14:textId="24F79451" w:rsidR="00B020FC" w:rsidRPr="00134B54" w:rsidRDefault="00B020FC" w:rsidP="00B020FC">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提案人：翁曉玲　許宇甄</w:t>
      </w:r>
    </w:p>
    <w:p w14:paraId="1144453C" w14:textId="474A1CE7" w:rsidR="00B020FC" w:rsidRPr="00134B54" w:rsidRDefault="00B020FC" w:rsidP="00B020FC">
      <w:pPr>
        <w:snapToGrid w:val="0"/>
        <w:ind w:leftChars="1500" w:left="4776" w:hangingChars="420" w:hanging="1176"/>
        <w:jc w:val="both"/>
        <w:rPr>
          <w:rFonts w:ascii="標楷體" w:eastAsia="標楷體" w:hAnsi="標楷體"/>
          <w:color w:val="000000"/>
          <w:sz w:val="28"/>
          <w:szCs w:val="28"/>
        </w:rPr>
      </w:pPr>
      <w:r w:rsidRPr="00134B54">
        <w:rPr>
          <w:rFonts w:ascii="標楷體" w:eastAsia="標楷體" w:hAnsi="標楷體"/>
          <w:color w:val="000000"/>
          <w:sz w:val="28"/>
          <w:szCs w:val="28"/>
        </w:rPr>
        <w:t>連署人：</w:t>
      </w:r>
      <w:r w:rsidRPr="00134B54">
        <w:rPr>
          <w:rFonts w:ascii="標楷體" w:eastAsia="標楷體" w:hAnsi="標楷體" w:hint="eastAsia"/>
          <w:color w:val="000000"/>
          <w:sz w:val="28"/>
          <w:szCs w:val="28"/>
        </w:rPr>
        <w:t xml:space="preserve">陳昭姿　</w:t>
      </w:r>
      <w:r w:rsidRPr="00134B54">
        <w:rPr>
          <w:rFonts w:ascii="標楷體" w:eastAsia="標楷體" w:hAnsi="標楷體"/>
          <w:color w:val="000000"/>
          <w:sz w:val="28"/>
          <w:szCs w:val="28"/>
        </w:rPr>
        <w:t>林沛祥</w:t>
      </w:r>
    </w:p>
    <w:p w14:paraId="7DEB7FAD" w14:textId="3BEFBC37" w:rsidR="00356512" w:rsidRDefault="00356512" w:rsidP="00356512">
      <w:pPr>
        <w:adjustRightInd w:val="0"/>
        <w:snapToGrid w:val="0"/>
        <w:spacing w:line="380" w:lineRule="exact"/>
        <w:ind w:leftChars="1" w:left="563" w:hangingChars="200" w:hanging="561"/>
        <w:jc w:val="both"/>
        <w:rPr>
          <w:rFonts w:ascii="標楷體" w:eastAsia="標楷體" w:hAnsi="標楷體"/>
          <w:b/>
          <w:bCs/>
          <w:sz w:val="28"/>
          <w:szCs w:val="28"/>
        </w:rPr>
      </w:pPr>
      <w:r w:rsidRPr="00134B54">
        <w:rPr>
          <w:rFonts w:ascii="標楷體" w:eastAsia="標楷體" w:hAnsi="標楷體" w:hint="eastAsia"/>
          <w:b/>
          <w:bCs/>
          <w:sz w:val="28"/>
          <w:szCs w:val="28"/>
        </w:rPr>
        <w:t>(八)本案</w:t>
      </w:r>
      <w:r w:rsidRPr="00134B54">
        <w:rPr>
          <w:rFonts w:ascii="標楷體" w:eastAsia="標楷體" w:hAnsi="標楷體"/>
          <w:b/>
          <w:bCs/>
          <w:sz w:val="28"/>
          <w:szCs w:val="28"/>
        </w:rPr>
        <w:t>審查完竣，</w:t>
      </w:r>
      <w:r w:rsidRPr="00134B54">
        <w:rPr>
          <w:rFonts w:ascii="標楷體" w:eastAsia="標楷體" w:hAnsi="標楷體" w:hint="eastAsia"/>
          <w:b/>
          <w:bCs/>
          <w:sz w:val="28"/>
          <w:szCs w:val="28"/>
        </w:rPr>
        <w:t>擬具審查報告，</w:t>
      </w:r>
      <w:r w:rsidRPr="00134B54">
        <w:rPr>
          <w:rFonts w:ascii="標楷體" w:eastAsia="標楷體" w:hAnsi="標楷體"/>
          <w:b/>
          <w:bCs/>
          <w:sz w:val="28"/>
          <w:szCs w:val="28"/>
        </w:rPr>
        <w:t>提</w:t>
      </w:r>
      <w:r w:rsidRPr="00134B54">
        <w:rPr>
          <w:rFonts w:ascii="標楷體" w:eastAsia="標楷體" w:hAnsi="標楷體" w:hint="eastAsia"/>
          <w:b/>
          <w:bCs/>
          <w:sz w:val="28"/>
          <w:szCs w:val="28"/>
        </w:rPr>
        <w:t>請</w:t>
      </w:r>
      <w:r w:rsidRPr="00134B54">
        <w:rPr>
          <w:rFonts w:ascii="標楷體" w:eastAsia="標楷體" w:hAnsi="標楷體"/>
          <w:b/>
          <w:bCs/>
          <w:sz w:val="28"/>
          <w:szCs w:val="28"/>
        </w:rPr>
        <w:t>院會</w:t>
      </w:r>
      <w:r w:rsidRPr="00134B54">
        <w:rPr>
          <w:rFonts w:ascii="標楷體" w:eastAsia="標楷體" w:hAnsi="標楷體" w:hint="eastAsia"/>
          <w:b/>
          <w:bCs/>
          <w:sz w:val="28"/>
          <w:szCs w:val="28"/>
        </w:rPr>
        <w:t>公決，</w:t>
      </w:r>
      <w:r w:rsidRPr="00134B54">
        <w:rPr>
          <w:rFonts w:ascii="標楷體" w:eastAsia="標楷體" w:hAnsi="標楷體"/>
          <w:b/>
          <w:bCs/>
          <w:sz w:val="28"/>
          <w:szCs w:val="28"/>
        </w:rPr>
        <w:t>院會討論</w:t>
      </w:r>
      <w:r w:rsidRPr="00134B54">
        <w:rPr>
          <w:rFonts w:ascii="標楷體" w:eastAsia="標楷體" w:hAnsi="標楷體" w:hint="eastAsia"/>
          <w:b/>
          <w:bCs/>
          <w:sz w:val="28"/>
          <w:szCs w:val="28"/>
        </w:rPr>
        <w:t>前，不</w:t>
      </w:r>
      <w:r w:rsidRPr="00134B54">
        <w:rPr>
          <w:rFonts w:ascii="標楷體" w:eastAsia="標楷體" w:hAnsi="標楷體"/>
          <w:b/>
          <w:bCs/>
          <w:sz w:val="28"/>
          <w:szCs w:val="28"/>
        </w:rPr>
        <w:t>須交由黨團協商</w:t>
      </w:r>
      <w:r w:rsidRPr="00134B54">
        <w:rPr>
          <w:rFonts w:ascii="標楷體" w:eastAsia="標楷體" w:hAnsi="標楷體" w:hint="eastAsia"/>
          <w:b/>
          <w:bCs/>
          <w:sz w:val="28"/>
          <w:szCs w:val="28"/>
        </w:rPr>
        <w:t>；院會討論時，由莊召集委員瑞雄出席說明</w:t>
      </w:r>
      <w:r w:rsidRPr="00134B54">
        <w:rPr>
          <w:rFonts w:ascii="標楷體" w:eastAsia="標楷體" w:hAnsi="標楷體"/>
          <w:b/>
          <w:bCs/>
          <w:sz w:val="28"/>
          <w:szCs w:val="28"/>
        </w:rPr>
        <w:t>。</w:t>
      </w:r>
    </w:p>
    <w:p w14:paraId="6A1699EA" w14:textId="31C66222" w:rsidR="00BF432F" w:rsidRDefault="000D2885" w:rsidP="00BF432F">
      <w:pPr>
        <w:pStyle w:val="ab"/>
        <w:spacing w:beforeLines="30" w:before="108" w:line="410" w:lineRule="exact"/>
        <w:ind w:left="561" w:hanging="561"/>
        <w:jc w:val="both"/>
        <w:rPr>
          <w:rFonts w:ascii="標楷體" w:hAnsi="標楷體"/>
          <w:b/>
          <w:bCs/>
          <w:sz w:val="28"/>
          <w:szCs w:val="28"/>
        </w:rPr>
      </w:pPr>
      <w:r>
        <w:rPr>
          <w:rFonts w:ascii="標楷體" w:hAnsi="標楷體" w:hint="eastAsia"/>
          <w:b/>
          <w:bCs/>
          <w:sz w:val="28"/>
          <w:szCs w:val="28"/>
        </w:rPr>
        <w:t>5</w:t>
      </w:r>
      <w:r w:rsidR="00BF432F" w:rsidRPr="00F33271">
        <w:rPr>
          <w:rFonts w:ascii="標楷體" w:hAnsi="標楷體" w:hint="eastAsia"/>
          <w:b/>
          <w:bCs/>
          <w:sz w:val="28"/>
          <w:szCs w:val="28"/>
        </w:rPr>
        <w:t>月</w:t>
      </w:r>
      <w:r>
        <w:rPr>
          <w:rFonts w:ascii="標楷體" w:hAnsi="標楷體" w:hint="eastAsia"/>
          <w:b/>
          <w:bCs/>
          <w:sz w:val="28"/>
          <w:szCs w:val="28"/>
        </w:rPr>
        <w:t>20日（星期三</w:t>
      </w:r>
      <w:r w:rsidR="00BF432F" w:rsidRPr="00F33271">
        <w:rPr>
          <w:rFonts w:ascii="標楷體" w:hAnsi="標楷體" w:hint="eastAsia"/>
          <w:b/>
          <w:bCs/>
          <w:sz w:val="28"/>
          <w:szCs w:val="28"/>
        </w:rPr>
        <w:t>）</w:t>
      </w:r>
    </w:p>
    <w:p w14:paraId="21463850" w14:textId="31265CB2" w:rsidR="00BF432F" w:rsidRDefault="00BF432F" w:rsidP="00BF432F">
      <w:pPr>
        <w:pStyle w:val="ac"/>
        <w:spacing w:beforeLines="30" w:before="108" w:line="410" w:lineRule="exact"/>
        <w:ind w:leftChars="0" w:left="0" w:rightChars="0" w:right="0" w:firstLineChars="398" w:firstLine="1115"/>
        <w:jc w:val="both"/>
        <w:rPr>
          <w:rFonts w:ascii="標楷體" w:hAnsi="標楷體"/>
          <w:b/>
          <w:sz w:val="28"/>
          <w:szCs w:val="28"/>
          <w:lang w:eastAsia="zh-TW"/>
        </w:rPr>
      </w:pPr>
      <w:r w:rsidRPr="00F33271">
        <w:rPr>
          <w:rFonts w:ascii="標楷體" w:hAnsi="標楷體" w:hint="eastAsia"/>
          <w:b/>
          <w:sz w:val="28"/>
          <w:szCs w:val="28"/>
          <w:lang w:eastAsia="zh-TW"/>
        </w:rPr>
        <w:t>討論事項</w:t>
      </w:r>
    </w:p>
    <w:p w14:paraId="7D6A4BFE" w14:textId="7C9C374E" w:rsidR="00BF432F" w:rsidRPr="00DF4778" w:rsidRDefault="00BF432F" w:rsidP="00777B3A">
      <w:pPr>
        <w:pStyle w:val="Default"/>
        <w:spacing w:line="360" w:lineRule="exact"/>
        <w:ind w:left="560" w:hangingChars="200" w:hanging="560"/>
        <w:jc w:val="both"/>
        <w:rPr>
          <w:rFonts w:hAnsi="標楷體"/>
          <w:color w:val="000000" w:themeColor="text1"/>
          <w:sz w:val="28"/>
          <w:szCs w:val="28"/>
        </w:rPr>
      </w:pPr>
      <w:r w:rsidRPr="00DF4778">
        <w:rPr>
          <w:rFonts w:hAnsi="標楷體"/>
          <w:color w:val="000000" w:themeColor="text1"/>
          <w:sz w:val="28"/>
          <w:szCs w:val="28"/>
        </w:rPr>
        <w:t>一、</w:t>
      </w:r>
      <w:r w:rsidRPr="00854704">
        <w:rPr>
          <w:rFonts w:hAnsi="標楷體"/>
          <w:color w:val="000000" w:themeColor="text1"/>
          <w:spacing w:val="-2"/>
          <w:sz w:val="28"/>
          <w:szCs w:val="28"/>
        </w:rPr>
        <w:t>繼續審查11</w:t>
      </w:r>
      <w:r w:rsidRPr="00854704">
        <w:rPr>
          <w:rFonts w:hAnsi="標楷體" w:hint="eastAsia"/>
          <w:color w:val="000000" w:themeColor="text1"/>
          <w:spacing w:val="-2"/>
          <w:sz w:val="28"/>
          <w:szCs w:val="28"/>
        </w:rPr>
        <w:t>5</w:t>
      </w:r>
      <w:r w:rsidRPr="00854704">
        <w:rPr>
          <w:rFonts w:hAnsi="標楷體"/>
          <w:color w:val="000000" w:themeColor="text1"/>
          <w:spacing w:val="-2"/>
          <w:sz w:val="28"/>
          <w:szCs w:val="28"/>
        </w:rPr>
        <w:t>年度中央政府總預算案關於行政院人事行政總處及所屬主管收支部分</w:t>
      </w:r>
      <w:r w:rsidRPr="00DF4778">
        <w:rPr>
          <w:rFonts w:hAnsi="標楷體"/>
          <w:color w:val="000000" w:themeColor="text1"/>
          <w:sz w:val="28"/>
          <w:szCs w:val="28"/>
        </w:rPr>
        <w:t>。</w:t>
      </w:r>
    </w:p>
    <w:p w14:paraId="71F25731" w14:textId="6CBEC745" w:rsidR="00BF432F" w:rsidRPr="00DF4778" w:rsidRDefault="00BF432F" w:rsidP="00777B3A">
      <w:pPr>
        <w:pStyle w:val="Default"/>
        <w:spacing w:line="360" w:lineRule="exact"/>
        <w:ind w:left="560" w:hangingChars="200" w:hanging="560"/>
        <w:jc w:val="both"/>
        <w:rPr>
          <w:rFonts w:hAnsi="標楷體"/>
          <w:color w:val="000000" w:themeColor="text1"/>
          <w:sz w:val="28"/>
          <w:szCs w:val="28"/>
        </w:rPr>
      </w:pPr>
      <w:r w:rsidRPr="00DF4778">
        <w:rPr>
          <w:rFonts w:hAnsi="標楷體"/>
          <w:color w:val="000000" w:themeColor="text1"/>
          <w:sz w:val="28"/>
          <w:szCs w:val="28"/>
        </w:rPr>
        <w:t>二、</w:t>
      </w:r>
      <w:r w:rsidRPr="00854704">
        <w:rPr>
          <w:rFonts w:hAnsi="標楷體"/>
          <w:color w:val="000000" w:themeColor="text1"/>
          <w:spacing w:val="-2"/>
          <w:sz w:val="28"/>
          <w:szCs w:val="28"/>
        </w:rPr>
        <w:t>繼續審查11</w:t>
      </w:r>
      <w:r w:rsidRPr="00854704">
        <w:rPr>
          <w:rFonts w:hAnsi="標楷體" w:hint="eastAsia"/>
          <w:color w:val="000000" w:themeColor="text1"/>
          <w:spacing w:val="-2"/>
          <w:sz w:val="28"/>
          <w:szCs w:val="28"/>
        </w:rPr>
        <w:t>5</w:t>
      </w:r>
      <w:r w:rsidRPr="00854704">
        <w:rPr>
          <w:rFonts w:hAnsi="標楷體"/>
          <w:color w:val="000000" w:themeColor="text1"/>
          <w:spacing w:val="-2"/>
          <w:sz w:val="28"/>
          <w:szCs w:val="28"/>
        </w:rPr>
        <w:t>年度中央政府總預算案附屬單位預算非營業部分關於行政院人事行政總處主管「中央公教人員急難救助基金」收支部分。</w:t>
      </w:r>
    </w:p>
    <w:p w14:paraId="27BEF80D" w14:textId="27CCB2B5" w:rsidR="00BF432F" w:rsidRDefault="00BF432F" w:rsidP="00BF432F">
      <w:pPr>
        <w:pStyle w:val="Default"/>
        <w:spacing w:line="360" w:lineRule="exact"/>
        <w:rPr>
          <w:rFonts w:hAnsi="標楷體"/>
          <w:sz w:val="28"/>
          <w:szCs w:val="28"/>
        </w:rPr>
      </w:pPr>
      <w:r w:rsidRPr="00DF4778">
        <w:rPr>
          <w:rFonts w:hAnsi="標楷體" w:hint="eastAsia"/>
          <w:sz w:val="28"/>
          <w:szCs w:val="28"/>
        </w:rPr>
        <w:t>決議：</w:t>
      </w:r>
    </w:p>
    <w:p w14:paraId="72F093B5" w14:textId="2DA4EDDE" w:rsidR="00BF432F" w:rsidRDefault="00BF432F" w:rsidP="00BF432F">
      <w:pPr>
        <w:spacing w:line="400" w:lineRule="exact"/>
        <w:ind w:left="537" w:hangingChars="200" w:hanging="537"/>
        <w:contextualSpacing/>
        <w:jc w:val="both"/>
        <w:rPr>
          <w:rFonts w:ascii="標楷體" w:eastAsia="標楷體" w:hAnsi="標楷體"/>
          <w:sz w:val="28"/>
          <w:szCs w:val="28"/>
        </w:rPr>
      </w:pPr>
      <w:r w:rsidRPr="00F07275">
        <w:rPr>
          <w:rFonts w:ascii="標楷體" w:eastAsia="標楷體" w:hAnsi="標楷體" w:cs="Times New Roman" w:hint="eastAsia"/>
          <w:b/>
          <w:spacing w:val="-6"/>
          <w:sz w:val="28"/>
          <w:szCs w:val="28"/>
        </w:rPr>
        <w:t>一、</w:t>
      </w:r>
      <w:bookmarkStart w:id="37" w:name="_Hlk20681751"/>
      <w:r w:rsidRPr="00F07275">
        <w:rPr>
          <w:rFonts w:ascii="標楷體" w:eastAsia="標楷體" w:hAnsi="標楷體" w:cs="Times New Roman" w:hint="eastAsia"/>
          <w:b/>
          <w:spacing w:val="-6"/>
          <w:sz w:val="28"/>
          <w:szCs w:val="28"/>
        </w:rPr>
        <w:t>1</w:t>
      </w:r>
      <w:r w:rsidRPr="00F07275">
        <w:rPr>
          <w:rFonts w:ascii="標楷體" w:eastAsia="標楷體" w:hAnsi="標楷體" w:cs="Times New Roman"/>
          <w:b/>
          <w:spacing w:val="-6"/>
          <w:sz w:val="28"/>
          <w:szCs w:val="28"/>
        </w:rPr>
        <w:t>1</w:t>
      </w:r>
      <w:r w:rsidRPr="00F07275">
        <w:rPr>
          <w:rFonts w:ascii="標楷體" w:eastAsia="標楷體" w:hAnsi="標楷體" w:cs="Times New Roman" w:hint="eastAsia"/>
          <w:b/>
          <w:spacing w:val="-6"/>
          <w:sz w:val="28"/>
          <w:szCs w:val="28"/>
        </w:rPr>
        <w:t>5年度中央政府總預算案關於行政院人事行政總處及所屬主管收支部分</w:t>
      </w:r>
      <w:bookmarkEnd w:id="37"/>
      <w:r w:rsidRPr="00F07275">
        <w:rPr>
          <w:rFonts w:ascii="標楷體" w:eastAsia="標楷體" w:hAnsi="標楷體" w:cs="Times New Roman" w:hint="eastAsia"/>
          <w:b/>
          <w:spacing w:val="-6"/>
          <w:sz w:val="28"/>
          <w:szCs w:val="28"/>
        </w:rPr>
        <w:t>：</w:t>
      </w:r>
    </w:p>
    <w:p w14:paraId="2D59A55C" w14:textId="13964E2B" w:rsidR="00BF432F" w:rsidRDefault="00BF432F" w:rsidP="00F07275">
      <w:pPr>
        <w:snapToGrid w:val="0"/>
        <w:rPr>
          <w:rFonts w:hAnsi="標楷體"/>
          <w:sz w:val="28"/>
          <w:szCs w:val="28"/>
        </w:rPr>
      </w:pPr>
      <w:r w:rsidRPr="00DF4778">
        <w:rPr>
          <w:rFonts w:ascii="標楷體" w:eastAsia="標楷體" w:hAnsi="標楷體" w:hint="eastAsia"/>
          <w:b/>
          <w:color w:val="000000" w:themeColor="text1"/>
          <w:sz w:val="28"/>
          <w:szCs w:val="28"/>
        </w:rPr>
        <w:t>（一）</w:t>
      </w:r>
      <w:r w:rsidRPr="00DF4778">
        <w:rPr>
          <w:rFonts w:ascii="標楷體" w:eastAsia="標楷體" w:hAnsi="標楷體"/>
          <w:b/>
          <w:color w:val="000000" w:themeColor="text1"/>
          <w:sz w:val="28"/>
          <w:szCs w:val="28"/>
        </w:rPr>
        <w:t>歲入部分</w:t>
      </w:r>
    </w:p>
    <w:p w14:paraId="0C68D4D8" w14:textId="77777777" w:rsidR="00BF432F" w:rsidRDefault="00BF432F" w:rsidP="00BF432F">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第2款 罰款及賠償收入</w:t>
      </w:r>
    </w:p>
    <w:p w14:paraId="2CBA16D8"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第7項 人事行政總處，無列數。</w:t>
      </w:r>
    </w:p>
    <w:p w14:paraId="7A0B3508"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第8項 公務人力發展學院，無列數。</w:t>
      </w:r>
    </w:p>
    <w:p w14:paraId="1AFE6892" w14:textId="77777777" w:rsidR="00BF432F" w:rsidRDefault="00BF432F" w:rsidP="00BF432F">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第4款 財產收入</w:t>
      </w:r>
    </w:p>
    <w:p w14:paraId="2CFE7BD6"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第8項 人事行政總處32萬2千元，照列。</w:t>
      </w:r>
    </w:p>
    <w:p w14:paraId="39E18F91"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第9項 公務人力發展學院3,899萬9千元，照列。</w:t>
      </w:r>
    </w:p>
    <w:p w14:paraId="1D4D8AD0" w14:textId="77777777" w:rsidR="00BF432F" w:rsidRDefault="00BF432F" w:rsidP="00BF432F">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第7款 其他收入</w:t>
      </w:r>
    </w:p>
    <w:p w14:paraId="42D31EEF"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第8項 人事行政總處8萬7千元，照列。</w:t>
      </w:r>
    </w:p>
    <w:p w14:paraId="38569AB4" w14:textId="77777777" w:rsidR="00BF432F" w:rsidRDefault="00BF432F" w:rsidP="00BF432F">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第9項 公務人力發展學院22萬元，照列。</w:t>
      </w:r>
    </w:p>
    <w:p w14:paraId="6D79CA19" w14:textId="14CFF9B6" w:rsidR="00BF432F" w:rsidRPr="00BF432F" w:rsidRDefault="00BF432F" w:rsidP="00F07275">
      <w:pPr>
        <w:snapToGrid w:val="0"/>
        <w:rPr>
          <w:rFonts w:ascii="標楷體" w:eastAsia="標楷體" w:hAnsi="標楷體"/>
          <w:sz w:val="28"/>
          <w:szCs w:val="28"/>
        </w:rPr>
      </w:pPr>
      <w:r w:rsidRPr="00DF4778">
        <w:rPr>
          <w:rFonts w:ascii="標楷體" w:eastAsia="標楷體" w:hAnsi="標楷體" w:hint="eastAsia"/>
          <w:b/>
          <w:color w:val="000000" w:themeColor="text1"/>
          <w:sz w:val="28"/>
          <w:szCs w:val="28"/>
        </w:rPr>
        <w:t>（二）</w:t>
      </w:r>
      <w:r w:rsidRPr="00DF4778">
        <w:rPr>
          <w:rFonts w:ascii="標楷體" w:eastAsia="標楷體" w:hAnsi="標楷體"/>
          <w:b/>
          <w:color w:val="000000" w:themeColor="text1"/>
          <w:sz w:val="28"/>
          <w:szCs w:val="28"/>
        </w:rPr>
        <w:t>歲出部分</w:t>
      </w:r>
    </w:p>
    <w:p w14:paraId="744B11B2" w14:textId="77777777" w:rsidR="00BF432F" w:rsidRDefault="00BF432F" w:rsidP="00BF432F">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第2款 行政院主管</w:t>
      </w:r>
    </w:p>
    <w:p w14:paraId="7EF2DA2A" w14:textId="77777777" w:rsidR="00BF432F" w:rsidRDefault="00BF432F" w:rsidP="00BF432F">
      <w:pPr>
        <w:snapToGrid w:val="0"/>
        <w:ind w:leftChars="150" w:left="1200" w:hangingChars="300" w:hanging="840"/>
        <w:jc w:val="both"/>
        <w:rPr>
          <w:rFonts w:ascii="標楷體" w:eastAsia="標楷體" w:hAnsi="標楷體"/>
          <w:color w:val="000000"/>
          <w:sz w:val="28"/>
          <w:szCs w:val="28"/>
        </w:rPr>
      </w:pPr>
      <w:r>
        <w:rPr>
          <w:rFonts w:ascii="標楷體" w:eastAsia="標楷體" w:hAnsi="標楷體"/>
          <w:color w:val="000000"/>
          <w:sz w:val="28"/>
          <w:szCs w:val="28"/>
        </w:rPr>
        <w:t>第3項 人事行政總處</w:t>
      </w:r>
      <w:r>
        <w:rPr>
          <w:rFonts w:ascii="標楷體" w:eastAsia="標楷體" w:hAnsi="標楷體" w:hint="eastAsia"/>
          <w:color w:val="000000"/>
          <w:sz w:val="28"/>
          <w:szCs w:val="28"/>
        </w:rPr>
        <w:t>原列</w:t>
      </w:r>
      <w:r>
        <w:rPr>
          <w:rFonts w:ascii="標楷體" w:eastAsia="標楷體" w:hAnsi="標楷體"/>
          <w:color w:val="000000"/>
          <w:sz w:val="28"/>
          <w:szCs w:val="28"/>
        </w:rPr>
        <w:t>23億9,171萬5千元，</w:t>
      </w:r>
      <w:r w:rsidRPr="00DF4778">
        <w:rPr>
          <w:rFonts w:ascii="標楷體" w:eastAsia="標楷體" w:hAnsi="標楷體" w:hint="eastAsia"/>
          <w:color w:val="000000"/>
          <w:sz w:val="28"/>
          <w:szCs w:val="28"/>
        </w:rPr>
        <w:t>減列</w:t>
      </w:r>
      <w:r>
        <w:rPr>
          <w:rFonts w:ascii="標楷體" w:eastAsia="標楷體" w:hAnsi="標楷體" w:hint="eastAsia"/>
          <w:color w:val="000000"/>
          <w:sz w:val="28"/>
          <w:szCs w:val="28"/>
        </w:rPr>
        <w:t>：</w:t>
      </w:r>
    </w:p>
    <w:p w14:paraId="45A86AE1" w14:textId="77777777" w:rsidR="00BF432F" w:rsidRDefault="00BF432F" w:rsidP="00BF432F">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(一)「業務費」100萬元</w:t>
      </w:r>
      <w:r w:rsidRPr="00DF4778">
        <w:rPr>
          <w:rFonts w:ascii="標楷體" w:eastAsia="標楷體" w:hAnsi="標楷體" w:hint="eastAsia"/>
          <w:color w:val="000000"/>
          <w:sz w:val="28"/>
          <w:szCs w:val="28"/>
        </w:rPr>
        <w:t>(科目自行調整)</w:t>
      </w:r>
      <w:r>
        <w:rPr>
          <w:rFonts w:ascii="標楷體" w:eastAsia="標楷體" w:hAnsi="標楷體"/>
          <w:color w:val="000000"/>
          <w:sz w:val="28"/>
          <w:szCs w:val="28"/>
        </w:rPr>
        <w:t>。</w:t>
      </w:r>
      <w:r>
        <w:rPr>
          <w:rFonts w:ascii="標楷體" w:eastAsia="標楷體" w:hAnsi="標楷體" w:hint="eastAsia"/>
          <w:color w:val="000000"/>
          <w:sz w:val="28"/>
          <w:szCs w:val="28"/>
        </w:rPr>
        <w:t>【2、3】</w:t>
      </w:r>
    </w:p>
    <w:p w14:paraId="691909AF" w14:textId="18089197" w:rsidR="00BF432F" w:rsidRDefault="00BF432F" w:rsidP="00BF432F">
      <w:pPr>
        <w:snapToGrid w:val="0"/>
        <w:ind w:leftChars="150" w:left="1900" w:hangingChars="550" w:hanging="15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DF4778">
        <w:rPr>
          <w:rFonts w:ascii="標楷體" w:eastAsia="標楷體" w:hAnsi="標楷體" w:hint="eastAsia"/>
          <w:color w:val="000000"/>
          <w:sz w:val="28"/>
          <w:szCs w:val="28"/>
        </w:rPr>
        <w:t>第</w:t>
      </w:r>
      <w:r>
        <w:rPr>
          <w:rFonts w:ascii="標楷體" w:eastAsia="標楷體" w:hAnsi="標楷體" w:hint="eastAsia"/>
          <w:color w:val="000000"/>
          <w:sz w:val="28"/>
          <w:szCs w:val="28"/>
        </w:rPr>
        <w:t>2</w:t>
      </w:r>
      <w:r w:rsidRPr="00DF4778">
        <w:rPr>
          <w:rFonts w:ascii="標楷體" w:eastAsia="標楷體" w:hAnsi="標楷體" w:hint="eastAsia"/>
          <w:color w:val="000000"/>
          <w:sz w:val="28"/>
          <w:szCs w:val="28"/>
        </w:rPr>
        <w:t>目</w:t>
      </w:r>
      <w:r w:rsidRPr="00DF4778">
        <w:rPr>
          <w:rFonts w:ascii="標楷體" w:eastAsia="標楷體" w:hAnsi="標楷體"/>
          <w:color w:val="000000"/>
          <w:sz w:val="28"/>
          <w:szCs w:val="28"/>
        </w:rPr>
        <w:t>「人事行政之政策規劃執行及發展」50</w:t>
      </w:r>
      <w:r w:rsidRPr="00DF4778">
        <w:rPr>
          <w:rFonts w:ascii="標楷體" w:eastAsia="標楷體" w:hAnsi="標楷體" w:hint="eastAsia"/>
          <w:color w:val="000000"/>
          <w:sz w:val="28"/>
          <w:szCs w:val="28"/>
        </w:rPr>
        <w:t>萬元(科目自行調整)</w:t>
      </w:r>
      <w:r>
        <w:rPr>
          <w:rFonts w:ascii="標楷體" w:eastAsia="標楷體" w:hAnsi="標楷體"/>
          <w:color w:val="000000"/>
          <w:sz w:val="28"/>
          <w:szCs w:val="28"/>
        </w:rPr>
        <w:t>。</w:t>
      </w:r>
      <w:r>
        <w:rPr>
          <w:rFonts w:ascii="標楷體" w:eastAsia="標楷體" w:hAnsi="標楷體" w:hint="eastAsia"/>
          <w:color w:val="000000"/>
          <w:sz w:val="28"/>
          <w:szCs w:val="28"/>
        </w:rPr>
        <w:t>【20】</w:t>
      </w:r>
    </w:p>
    <w:p w14:paraId="00957783" w14:textId="151D0C68" w:rsidR="00BF432F" w:rsidRDefault="00BF432F" w:rsidP="00BF432F">
      <w:pPr>
        <w:snapToGrid w:val="0"/>
        <w:ind w:leftChars="150" w:left="1900" w:hangingChars="550" w:hanging="15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(三)</w:t>
      </w:r>
      <w:r w:rsidRPr="00DF4778">
        <w:rPr>
          <w:rFonts w:ascii="標楷體" w:eastAsia="標楷體" w:hAnsi="標楷體" w:hint="eastAsia"/>
          <w:color w:val="000000"/>
          <w:sz w:val="28"/>
          <w:szCs w:val="28"/>
        </w:rPr>
        <w:t>第</w:t>
      </w:r>
      <w:r>
        <w:rPr>
          <w:rFonts w:ascii="標楷體" w:eastAsia="標楷體" w:hAnsi="標楷體" w:hint="eastAsia"/>
          <w:color w:val="000000"/>
          <w:sz w:val="28"/>
          <w:szCs w:val="28"/>
        </w:rPr>
        <w:t>2</w:t>
      </w:r>
      <w:r w:rsidRPr="00DF4778">
        <w:rPr>
          <w:rFonts w:ascii="標楷體" w:eastAsia="標楷體" w:hAnsi="標楷體" w:hint="eastAsia"/>
          <w:color w:val="000000"/>
          <w:sz w:val="28"/>
          <w:szCs w:val="28"/>
        </w:rPr>
        <w:t>目</w:t>
      </w:r>
      <w:r w:rsidRPr="00DF4778">
        <w:rPr>
          <w:rFonts w:ascii="標楷體" w:eastAsia="標楷體" w:hAnsi="標楷體"/>
          <w:color w:val="000000"/>
          <w:sz w:val="28"/>
          <w:szCs w:val="28"/>
        </w:rPr>
        <w:t>「人事行政之政策規劃執行及發展」</w:t>
      </w:r>
      <w:r>
        <w:rPr>
          <w:rFonts w:ascii="標楷體" w:eastAsia="標楷體" w:hAnsi="標楷體" w:hint="eastAsia"/>
          <w:color w:val="000000"/>
          <w:sz w:val="28"/>
          <w:szCs w:val="28"/>
        </w:rPr>
        <w:t>項下「公務</w:t>
      </w:r>
      <w:r>
        <w:rPr>
          <w:rFonts w:ascii="標楷體" w:eastAsia="標楷體" w:hAnsi="標楷體" w:hint="eastAsia"/>
          <w:color w:val="000000"/>
          <w:sz w:val="28"/>
          <w:szCs w:val="28"/>
        </w:rPr>
        <w:lastRenderedPageBreak/>
        <w:t>人員培訓與考用」中「業務費」之「教育訓練費」50萬元</w:t>
      </w:r>
      <w:r w:rsidRPr="00DF4778">
        <w:rPr>
          <w:rFonts w:ascii="標楷體" w:eastAsia="標楷體" w:hAnsi="標楷體"/>
          <w:color w:val="000000"/>
          <w:sz w:val="28"/>
          <w:szCs w:val="28"/>
        </w:rPr>
        <w:t>。</w:t>
      </w:r>
      <w:r>
        <w:rPr>
          <w:rFonts w:ascii="標楷體" w:eastAsia="標楷體" w:hAnsi="標楷體" w:hint="eastAsia"/>
          <w:color w:val="000000"/>
          <w:sz w:val="28"/>
          <w:szCs w:val="28"/>
        </w:rPr>
        <w:t>【22】</w:t>
      </w:r>
    </w:p>
    <w:p w14:paraId="673D42C8" w14:textId="66F6861F" w:rsidR="00BF432F" w:rsidRDefault="00BF432F" w:rsidP="00BF432F">
      <w:pPr>
        <w:snapToGrid w:val="0"/>
        <w:ind w:leftChars="150" w:left="1340" w:hangingChars="350" w:hanging="980"/>
        <w:jc w:val="both"/>
        <w:rPr>
          <w:rFonts w:hAnsi="標楷體"/>
          <w:sz w:val="28"/>
          <w:szCs w:val="28"/>
        </w:rPr>
      </w:pPr>
      <w:r>
        <w:rPr>
          <w:rFonts w:ascii="標楷體" w:eastAsia="標楷體" w:hAnsi="標楷體" w:hint="eastAsia"/>
          <w:color w:val="000000"/>
          <w:sz w:val="28"/>
          <w:szCs w:val="28"/>
        </w:rPr>
        <w:t xml:space="preserve">       以上共計減列200萬元，其餘</w:t>
      </w:r>
      <w:r w:rsidRPr="00DF4778">
        <w:rPr>
          <w:rFonts w:ascii="標楷體" w:eastAsia="標楷體" w:hAnsi="標楷體" w:hint="eastAsia"/>
          <w:color w:val="000000"/>
          <w:sz w:val="28"/>
          <w:szCs w:val="28"/>
        </w:rPr>
        <w:t>均照列，改列為</w:t>
      </w:r>
      <w:r>
        <w:rPr>
          <w:rFonts w:ascii="標楷體" w:eastAsia="標楷體" w:hAnsi="標楷體" w:hint="eastAsia"/>
          <w:color w:val="000000"/>
          <w:sz w:val="28"/>
          <w:szCs w:val="28"/>
        </w:rPr>
        <w:t>23</w:t>
      </w:r>
      <w:r w:rsidRPr="00DF4778">
        <w:rPr>
          <w:rFonts w:ascii="標楷體" w:eastAsia="標楷體" w:hAnsi="標楷體"/>
          <w:color w:val="000000"/>
          <w:sz w:val="28"/>
          <w:szCs w:val="28"/>
        </w:rPr>
        <w:t>億</w:t>
      </w:r>
      <w:r>
        <w:rPr>
          <w:rFonts w:ascii="標楷體" w:eastAsia="標楷體" w:hAnsi="標楷體" w:hint="eastAsia"/>
          <w:color w:val="000000"/>
          <w:sz w:val="28"/>
          <w:szCs w:val="28"/>
        </w:rPr>
        <w:t>8</w:t>
      </w:r>
      <w:r w:rsidRPr="00DF4778">
        <w:rPr>
          <w:rFonts w:ascii="標楷體" w:eastAsia="標楷體" w:hAnsi="標楷體"/>
          <w:color w:val="000000"/>
          <w:sz w:val="28"/>
          <w:szCs w:val="28"/>
        </w:rPr>
        <w:t>,9</w:t>
      </w:r>
      <w:r>
        <w:rPr>
          <w:rFonts w:ascii="標楷體" w:eastAsia="標楷體" w:hAnsi="標楷體" w:hint="eastAsia"/>
          <w:color w:val="000000"/>
          <w:sz w:val="28"/>
          <w:szCs w:val="28"/>
        </w:rPr>
        <w:t>71</w:t>
      </w:r>
      <w:r w:rsidRPr="00DF4778">
        <w:rPr>
          <w:rFonts w:ascii="標楷體" w:eastAsia="標楷體" w:hAnsi="標楷體"/>
          <w:color w:val="000000"/>
          <w:sz w:val="28"/>
          <w:szCs w:val="28"/>
        </w:rPr>
        <w:t>萬</w:t>
      </w:r>
      <w:r>
        <w:rPr>
          <w:rFonts w:ascii="標楷體" w:eastAsia="標楷體" w:hAnsi="標楷體" w:hint="eastAsia"/>
          <w:color w:val="000000"/>
          <w:sz w:val="28"/>
          <w:szCs w:val="28"/>
        </w:rPr>
        <w:t>5千</w:t>
      </w:r>
      <w:r w:rsidRPr="00DF4778">
        <w:rPr>
          <w:rFonts w:ascii="標楷體" w:eastAsia="標楷體" w:hAnsi="標楷體"/>
          <w:color w:val="000000"/>
          <w:sz w:val="28"/>
          <w:szCs w:val="28"/>
        </w:rPr>
        <w:t>元</w:t>
      </w:r>
      <w:r>
        <w:rPr>
          <w:rFonts w:ascii="標楷體" w:eastAsia="標楷體" w:hAnsi="標楷體" w:hint="eastAsia"/>
          <w:color w:val="000000"/>
          <w:sz w:val="28"/>
          <w:szCs w:val="28"/>
        </w:rPr>
        <w:t>。</w:t>
      </w:r>
    </w:p>
    <w:p w14:paraId="3CD8977D" w14:textId="77777777" w:rsidR="00BF432F" w:rsidRPr="00F07275" w:rsidRDefault="00BF432F" w:rsidP="00BF432F">
      <w:pPr>
        <w:snapToGrid w:val="0"/>
        <w:ind w:leftChars="150" w:left="1201" w:hangingChars="300" w:hanging="841"/>
        <w:jc w:val="both"/>
        <w:rPr>
          <w:rFonts w:ascii="標楷體" w:eastAsia="標楷體" w:hAnsi="標楷體"/>
          <w:b/>
          <w:color w:val="000000"/>
          <w:sz w:val="28"/>
          <w:szCs w:val="28"/>
        </w:rPr>
      </w:pPr>
      <w:r w:rsidRPr="00F07275">
        <w:rPr>
          <w:rFonts w:ascii="標楷體" w:eastAsia="標楷體" w:hAnsi="標楷體"/>
          <w:b/>
          <w:sz w:val="28"/>
          <w:szCs w:val="28"/>
        </w:rPr>
        <w:t>本項提案</w:t>
      </w:r>
      <w:r w:rsidRPr="00F07275">
        <w:rPr>
          <w:rFonts w:ascii="標楷體" w:eastAsia="標楷體" w:hAnsi="標楷體" w:hint="eastAsia"/>
          <w:b/>
          <w:sz w:val="28"/>
          <w:szCs w:val="28"/>
        </w:rPr>
        <w:t>3</w:t>
      </w:r>
      <w:r w:rsidRPr="00F07275">
        <w:rPr>
          <w:rFonts w:ascii="標楷體" w:eastAsia="標楷體" w:hAnsi="標楷體"/>
          <w:b/>
          <w:sz w:val="28"/>
          <w:szCs w:val="28"/>
        </w:rPr>
        <w:t>案，保留，送院會處理：</w:t>
      </w:r>
    </w:p>
    <w:p w14:paraId="5C387BA3" w14:textId="77777777" w:rsidR="00BF432F" w:rsidRDefault="00BF432F" w:rsidP="00BF5B2C">
      <w:pPr>
        <w:pStyle w:val="a"/>
        <w:numPr>
          <w:ilvl w:val="0"/>
          <w:numId w:val="18"/>
        </w:numPr>
      </w:pPr>
      <w:r w:rsidRPr="000D2ED6">
        <w:t>115年中央政府總預算，行政院人事行政總處單位預算編列2,391,715千元，比114年度法定預算2,318,478千元，增加73,237千元，成長幅度3.16%。</w:t>
      </w:r>
    </w:p>
    <w:p w14:paraId="7DEC0543" w14:textId="77777777" w:rsidR="00BF432F" w:rsidRDefault="00BF432F" w:rsidP="00F07275">
      <w:pPr>
        <w:pStyle w:val="10"/>
      </w:pPr>
      <w:r w:rsidRPr="000D2ED6">
        <w:t>115年度業務費預算編列155,476千元，與114年法定預算117,725千元相比，</w:t>
      </w:r>
      <w:r w:rsidRPr="00494575">
        <w:rPr>
          <w:b/>
          <w:u w:val="single"/>
        </w:rPr>
        <w:t>增列37,751千元（3,775萬），成長幅度高達32.07%。</w:t>
      </w:r>
    </w:p>
    <w:p w14:paraId="6292CE81" w14:textId="77777777" w:rsidR="00BF432F" w:rsidRDefault="00BF432F" w:rsidP="00F07275">
      <w:pPr>
        <w:pStyle w:val="10"/>
      </w:pPr>
      <w:r w:rsidRPr="000D2ED6">
        <w:t>然，115年中央政府總預算連同特別預算，已需舉債高達4千億元。</w:t>
      </w:r>
      <w:r w:rsidRPr="00494575">
        <w:rPr>
          <w:b/>
          <w:u w:val="single"/>
        </w:rPr>
        <w:t>政府各單位更應量入為出、撙節公帑，減列非必要、非急迫性的支出，</w:t>
      </w:r>
      <w:r w:rsidRPr="000D2ED6">
        <w:t>以降低國庫舉債、債留子孫的壓力。</w:t>
      </w:r>
    </w:p>
    <w:p w14:paraId="35090BBF" w14:textId="77777777" w:rsidR="00BF432F" w:rsidRDefault="00BF432F" w:rsidP="00F07275">
      <w:pPr>
        <w:pStyle w:val="10"/>
      </w:pPr>
      <w:r w:rsidRPr="000D2ED6">
        <w:t>且，賴總統為回應美國對台灣應大幅增加國防支出的強硬立場與關切壓力，115年度國防支出已創下歷史新高，達9495億新台幣；大舉增加國防支出，必定會嚴重排擠年度的教育、文化等支出，亦即，</w:t>
      </w:r>
      <w:r w:rsidRPr="00494575">
        <w:rPr>
          <w:b/>
        </w:rPr>
        <w:t>各部會應勒緊褲帶，共體時艱、以撙節支出的具體行動，來呼應賴總統對美方要求大幅增加國防支出的承諾。</w:t>
      </w:r>
    </w:p>
    <w:p w14:paraId="371472E8" w14:textId="77777777" w:rsidR="00BF432F" w:rsidRDefault="00BF432F" w:rsidP="00F07275">
      <w:pPr>
        <w:pStyle w:val="10"/>
      </w:pPr>
      <w:r w:rsidRPr="000D2ED6">
        <w:t>惟人事行政總處115年度預算案編列業務費155,476千元，，與114年法定預算相比，</w:t>
      </w:r>
      <w:r w:rsidRPr="00494575">
        <w:rPr>
          <w:b/>
          <w:u w:val="single"/>
        </w:rPr>
        <w:t>增列37,751千元，成長幅度高達32.07%。</w:t>
      </w:r>
      <w:r w:rsidRPr="000D2ED6">
        <w:t>為兌現賴總統對美方的承諾，為配合國防支出大幅增加之影響而必須撙節經費。且人事行政總處日前發函明文揭示，對未具結無大陸身份證、居住證等證件之公務人員將不得進用、調任，顯悖離法律保留原則，有濫權之嫌！</w:t>
      </w:r>
      <w:r w:rsidRPr="00494575">
        <w:rPr>
          <w:b/>
          <w:u w:val="single"/>
        </w:rPr>
        <w:t>爰提案減列3000萬元整且不得流用勻支，並凍結20%</w:t>
      </w:r>
      <w:r w:rsidRPr="000D2ED6">
        <w:t>，以避免有限之財政資源閒置與浪費。俟行政院人事行政總處發函重申公務人員如未簽署具結者，不會有任何不利處分和懲處，於完成發文後向立法院司法及法制委員會提交</w:t>
      </w:r>
      <w:r>
        <w:rPr>
          <w:rFonts w:hint="eastAsia"/>
        </w:rPr>
        <w:t>書面</w:t>
      </w:r>
      <w:r w:rsidRPr="000D2ED6">
        <w:t>報告，經同意後始得動支。【1】</w:t>
      </w:r>
    </w:p>
    <w:p w14:paraId="268903ED" w14:textId="77777777" w:rsidR="00BF432F" w:rsidRDefault="00BF432F" w:rsidP="00F07275">
      <w:pPr>
        <w:pStyle w:val="21"/>
      </w:pPr>
      <w:r>
        <w:t>提案人：翁曉玲</w:t>
      </w:r>
    </w:p>
    <w:p w14:paraId="1FC874C2" w14:textId="7168662C" w:rsidR="00BF432F" w:rsidRDefault="00BF432F" w:rsidP="00F07275">
      <w:pPr>
        <w:pStyle w:val="21"/>
      </w:pPr>
      <w:r>
        <w:t>連署人：林倩綺　許宇甄</w:t>
      </w:r>
    </w:p>
    <w:p w14:paraId="5866FFA0" w14:textId="77777777" w:rsidR="00BF432F" w:rsidRDefault="00BF432F" w:rsidP="00F07275">
      <w:pPr>
        <w:pStyle w:val="1"/>
      </w:pPr>
      <w:r w:rsidRPr="000D2ED6">
        <w:t>115年中央政府總預算，行政院人事行政總處單位預算編列2,391,715千元，比114年度法定預算2,318,478千元，增加73,237千元，成長幅度3.16%。</w:t>
      </w:r>
    </w:p>
    <w:p w14:paraId="02697C4A" w14:textId="77777777" w:rsidR="00BF432F" w:rsidRDefault="00BF432F" w:rsidP="00F07275">
      <w:pPr>
        <w:pStyle w:val="10"/>
      </w:pPr>
      <w:r w:rsidRPr="000D2ED6">
        <w:t>115年度業務費項下預算編列「一般事務費」37,173千元，</w:t>
      </w:r>
      <w:r w:rsidRPr="000D2ED6">
        <w:lastRenderedPageBreak/>
        <w:t>與114年法定預算27,522千元相比，</w:t>
      </w:r>
      <w:r w:rsidRPr="00494575">
        <w:rPr>
          <w:b/>
          <w:u w:val="single"/>
        </w:rPr>
        <w:t>增列9,651千元（965萬），成長幅度高達35.07%。</w:t>
      </w:r>
    </w:p>
    <w:p w14:paraId="23D1CA39" w14:textId="77777777" w:rsidR="00BF432F" w:rsidRDefault="00BF432F" w:rsidP="00F07275">
      <w:pPr>
        <w:pStyle w:val="10"/>
      </w:pPr>
      <w:r>
        <w:rPr>
          <w:noProof/>
        </w:rPr>
        <w:drawing>
          <wp:anchor distT="0" distB="0" distL="114300" distR="114300" simplePos="0" relativeHeight="251658240" behindDoc="0" locked="0" layoutInCell="1" allowOverlap="1" wp14:anchorId="6996F4CC" wp14:editId="1F473BA9">
            <wp:simplePos x="0" y="0"/>
            <wp:positionH relativeFrom="column">
              <wp:posOffset>626745</wp:posOffset>
            </wp:positionH>
            <wp:positionV relativeFrom="paragraph">
              <wp:posOffset>1270</wp:posOffset>
            </wp:positionV>
            <wp:extent cx="5454650" cy="992505"/>
            <wp:effectExtent l="0" t="0" r="0" b="0"/>
            <wp:wrapTopAndBottom/>
            <wp:docPr id="5" name="圖片 5"/>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extLst>
                        <a:ext uri="{28A0092B-C50C-407E-A947-70E740481C1C}">
                          <a14:useLocalDpi xmlns:a14="http://schemas.microsoft.com/office/drawing/2010/main" val="0"/>
                        </a:ext>
                      </a:extLst>
                    </a:blip>
                    <a:stretch>
                      <a:fillRect/>
                    </a:stretch>
                  </pic:blipFill>
                  <pic:spPr>
                    <a:xfrm>
                      <a:off x="0" y="0"/>
                      <a:ext cx="5454650" cy="992505"/>
                    </a:xfrm>
                    <a:prstGeom prst="rect">
                      <a:avLst/>
                    </a:prstGeom>
                  </pic:spPr>
                </pic:pic>
              </a:graphicData>
            </a:graphic>
          </wp:anchor>
        </w:drawing>
      </w:r>
      <w:r w:rsidRPr="000D2ED6">
        <w:t>經查行政院人事行政總處114年決算書資料如上表，「一般事務費」執行率為94.92％。顯見，原有經費編列與實際需求之間存有相當落差，致使經費運用效益低落。</w:t>
      </w:r>
    </w:p>
    <w:p w14:paraId="4247AE0C" w14:textId="77777777" w:rsidR="00BF432F" w:rsidRDefault="00BF432F" w:rsidP="00AC1035">
      <w:pPr>
        <w:pStyle w:val="10"/>
      </w:pPr>
      <w:r w:rsidRPr="000D2ED6">
        <w:t>然，115年中央政府總預算連同特別預算，已需舉債高達4千億元。</w:t>
      </w:r>
      <w:r w:rsidRPr="00494575">
        <w:rPr>
          <w:b/>
          <w:u w:val="single"/>
        </w:rPr>
        <w:t>政府各單位更應量入為出、撙節公帑，減列非必要、非急迫性的支出，</w:t>
      </w:r>
      <w:r w:rsidRPr="000D2ED6">
        <w:t>以降低國庫舉債、債留子孫的壓力。</w:t>
      </w:r>
    </w:p>
    <w:p w14:paraId="52ECDBD3" w14:textId="77777777" w:rsidR="00BF432F" w:rsidRDefault="00BF432F" w:rsidP="00F07275">
      <w:pPr>
        <w:pStyle w:val="10"/>
      </w:pPr>
      <w:r w:rsidRPr="000D2ED6">
        <w:t>且，賴總統為回應美國對台灣應大幅增加國防支出的強硬立場與關切壓力，115年度國防支出已創下歷史新高，達9495億新台幣；大舉增加國防支出，必定會嚴重排擠年度的教育、文化等支出，亦即，</w:t>
      </w:r>
      <w:r w:rsidRPr="00494575">
        <w:rPr>
          <w:b/>
        </w:rPr>
        <w:t>各部會應勒緊褲帶，共體時艱、以撙節支出的具體行動，來呼應賴總統對美方要求大幅增加國防支出的承諾。</w:t>
      </w:r>
    </w:p>
    <w:p w14:paraId="63BA02D8" w14:textId="192167E2" w:rsidR="00BF432F" w:rsidRDefault="00BF432F" w:rsidP="00F07275">
      <w:pPr>
        <w:pStyle w:val="10"/>
      </w:pPr>
      <w:r w:rsidRPr="000D2ED6">
        <w:t>惟人事行政總處115年度預算案仍編列「一般事務費」37,173千元，與114年法定預算相比，</w:t>
      </w:r>
      <w:r w:rsidRPr="00494575">
        <w:rPr>
          <w:b/>
          <w:u w:val="single"/>
        </w:rPr>
        <w:t>增列9,651千元，成長幅度高達35.07%</w:t>
      </w:r>
      <w:r w:rsidRPr="000D2ED6">
        <w:t>。為兌現賴總統對美方的承諾，為配合國防支出大幅增加之影響而必須撙節經費，</w:t>
      </w:r>
      <w:r w:rsidRPr="00494575">
        <w:rPr>
          <w:b/>
          <w:u w:val="single"/>
        </w:rPr>
        <w:t>且人總遲遲未能將「軍公教調薪法制化」之草案送交立院審議</w:t>
      </w:r>
      <w:r w:rsidRPr="000D2ED6">
        <w:t>，</w:t>
      </w:r>
      <w:r w:rsidRPr="00494575">
        <w:rPr>
          <w:b/>
          <w:u w:val="single"/>
        </w:rPr>
        <w:t>爰提案減列150萬元整且不得流用勻支，並凍結20%</w:t>
      </w:r>
      <w:r w:rsidRPr="000D2ED6">
        <w:t>，以避免有限之財政資源閒置與浪費。俟行政院人事行政總處將軍公教調薪法制化草案送交立法院審議後，始得動支。【4】</w:t>
      </w:r>
    </w:p>
    <w:p w14:paraId="5260CF95" w14:textId="3777D05B" w:rsidR="00BF432F" w:rsidRDefault="00BF432F" w:rsidP="00F07275">
      <w:pPr>
        <w:pStyle w:val="21"/>
      </w:pPr>
      <w:r>
        <w:t>提案人：翁曉玲</w:t>
      </w:r>
    </w:p>
    <w:p w14:paraId="67086490" w14:textId="767F7782" w:rsidR="00BF432F" w:rsidRDefault="00BF432F" w:rsidP="00F07275">
      <w:pPr>
        <w:pStyle w:val="21"/>
      </w:pPr>
      <w:r>
        <w:t>連署人：林沛祥　許宇甄</w:t>
      </w:r>
    </w:p>
    <w:p w14:paraId="4806D58F" w14:textId="4E75D267" w:rsidR="00BF432F" w:rsidRDefault="00BF432F" w:rsidP="00F07275">
      <w:pPr>
        <w:pStyle w:val="1"/>
      </w:pPr>
      <w:r w:rsidRPr="000D2ED6">
        <w:t>115年度行政院人事行政總處預算案於第1目「一般行政」項下「基本行政工作維持」中「業務費」之「特別費」，係人事長、政務副人事長及常務副人事長等3人編列94萬5千元。</w:t>
      </w:r>
    </w:p>
    <w:p w14:paraId="493BA258" w14:textId="15FBBF0A" w:rsidR="00BF432F" w:rsidRDefault="00BF432F" w:rsidP="00F07275">
      <w:pPr>
        <w:pStyle w:val="10"/>
      </w:pPr>
      <w:r w:rsidRPr="000D2ED6">
        <w:t>依照行政院95年12月29日院授主忠字第0950007913號函，各級政府機關特別費支用規定之特別費使用範圍，係婚喪喜慶之禮金及招待、餽（捐）贈及慰問等支出。恐非屬各項施政計畫執行之必要項目。</w:t>
      </w:r>
    </w:p>
    <w:p w14:paraId="0FCFEA2E" w14:textId="3F8A5357" w:rsidR="00BF432F" w:rsidRDefault="00BF432F" w:rsidP="00F07275">
      <w:pPr>
        <w:pStyle w:val="10"/>
      </w:pPr>
      <w:r w:rsidRPr="000D2ED6">
        <w:t>然，115年中央政府總預算連同特別預算，已需舉債高達4</w:t>
      </w:r>
      <w:r w:rsidRPr="000D2ED6">
        <w:lastRenderedPageBreak/>
        <w:t>千億元。政府各單位更應量入為出、撙節公帑，減列非必要、非急迫性的支出，以降低國庫舉債、債留子孫的壓力。</w:t>
      </w:r>
    </w:p>
    <w:p w14:paraId="3657A2E1" w14:textId="6CD9B470" w:rsidR="00BF432F" w:rsidRDefault="00BF432F" w:rsidP="00F07275">
      <w:pPr>
        <w:pStyle w:val="10"/>
      </w:pPr>
      <w:r w:rsidRPr="000D2ED6">
        <w:t>且，賴總統為回應美國對台灣應大幅增加國防支出的強硬立場與關切壓力，115年度國防支出已創下歷史新高．達9,495億新台幣．較去年度相比暴增1,768億．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14:paraId="5B10661B" w14:textId="77777777" w:rsidR="00BF432F" w:rsidRDefault="00BF432F" w:rsidP="00F07275">
      <w:pPr>
        <w:pStyle w:val="10"/>
      </w:pPr>
      <w:r w:rsidRPr="000D2ED6">
        <w:t>有鑑於行政院人事行政總處所編之「特別費」，係婚喪喜慶之禮金及招待、餽（捐）贈及慰問等支出，非屬各項施政計畫執行之必要項目。為兌現賴總統對美方的承諾，且配合國防支出大幅增加之影響而必須撙節經費，爰提案減列九成共計85萬元整，且不得流用勻支，以將有限之財政資源集中，支援必須擴增的國防經費支出。【9】</w:t>
      </w:r>
    </w:p>
    <w:p w14:paraId="1F2A07E1" w14:textId="77777777" w:rsidR="00BF432F" w:rsidRDefault="00BF432F" w:rsidP="00F07275">
      <w:pPr>
        <w:pStyle w:val="21"/>
      </w:pPr>
      <w:r>
        <w:t>提案人：翁曉玲</w:t>
      </w:r>
    </w:p>
    <w:p w14:paraId="03161497" w14:textId="2A7D160F" w:rsidR="00BF432F" w:rsidRDefault="00BF432F" w:rsidP="00F07275">
      <w:pPr>
        <w:pStyle w:val="21"/>
      </w:pPr>
      <w:r>
        <w:t>連署人：林倩綺　許宇甄</w:t>
      </w:r>
    </w:p>
    <w:p w14:paraId="4B5866D1" w14:textId="77777777" w:rsidR="00BF432F" w:rsidRDefault="00BF432F" w:rsidP="00BF432F">
      <w:pPr>
        <w:snapToGrid w:val="0"/>
        <w:ind w:leftChars="150" w:left="1201" w:hangingChars="300" w:hanging="841"/>
        <w:jc w:val="both"/>
        <w:rPr>
          <w:rFonts w:ascii="標楷體" w:eastAsia="標楷體" w:hAnsi="標楷體"/>
          <w:color w:val="000000"/>
          <w:sz w:val="28"/>
          <w:szCs w:val="28"/>
        </w:rPr>
      </w:pPr>
      <w:r w:rsidRPr="00DF4778">
        <w:rPr>
          <w:rFonts w:ascii="標楷體" w:eastAsia="標楷體" w:hAnsi="標楷體"/>
          <w:b/>
          <w:bCs/>
          <w:sz w:val="28"/>
          <w:szCs w:val="28"/>
        </w:rPr>
        <w:t>本項通過決議</w:t>
      </w:r>
      <w:r>
        <w:rPr>
          <w:rFonts w:ascii="標楷體" w:eastAsia="標楷體" w:hAnsi="標楷體" w:hint="eastAsia"/>
          <w:b/>
          <w:bCs/>
          <w:sz w:val="28"/>
          <w:szCs w:val="28"/>
        </w:rPr>
        <w:t>26</w:t>
      </w:r>
      <w:r w:rsidRPr="00DF4778">
        <w:rPr>
          <w:rFonts w:ascii="標楷體" w:eastAsia="標楷體" w:hAnsi="標楷體"/>
          <w:b/>
          <w:bCs/>
          <w:sz w:val="28"/>
          <w:szCs w:val="28"/>
        </w:rPr>
        <w:t>項：</w:t>
      </w:r>
    </w:p>
    <w:p w14:paraId="196D3DA0" w14:textId="3D0E9DC7" w:rsidR="00BF432F" w:rsidRPr="00F07275" w:rsidRDefault="00BF432F" w:rsidP="00BF5B2C">
      <w:pPr>
        <w:pStyle w:val="a"/>
        <w:numPr>
          <w:ilvl w:val="0"/>
          <w:numId w:val="19"/>
        </w:numPr>
      </w:pPr>
      <w:r w:rsidRPr="00F07275">
        <w:t>115年度行政院人事行政總處歲出預算第1目「一般行政」編列4億1,038萬1千</w:t>
      </w:r>
      <w:r w:rsidR="00FD33FE">
        <w:rPr>
          <w:rFonts w:hint="eastAsia"/>
        </w:rPr>
        <w:t>元</w:t>
      </w:r>
      <w:r w:rsidRPr="00F07275">
        <w:t>，凍結</w:t>
      </w:r>
      <w:r w:rsidRPr="00F07275">
        <w:rPr>
          <w:rFonts w:hint="eastAsia"/>
        </w:rPr>
        <w:t>50</w:t>
      </w:r>
      <w:r w:rsidRPr="00F07275">
        <w:t>萬元，俟向立法院司法及法制委員會提出書面報告後，始得動支。【</w:t>
      </w:r>
      <w:r w:rsidRPr="00F07275">
        <w:rPr>
          <w:rFonts w:hint="eastAsia"/>
        </w:rPr>
        <w:t>7</w:t>
      </w:r>
      <w:r w:rsidRPr="00F07275">
        <w:t>】</w:t>
      </w:r>
    </w:p>
    <w:p w14:paraId="0EE1EF41" w14:textId="77777777" w:rsidR="00BF432F" w:rsidRPr="00F07275" w:rsidRDefault="00BF432F" w:rsidP="00BF432F">
      <w:pPr>
        <w:snapToGrid w:val="0"/>
        <w:ind w:leftChars="1500" w:left="4776" w:hangingChars="420" w:hanging="1176"/>
        <w:jc w:val="both"/>
        <w:rPr>
          <w:rFonts w:ascii="標楷體" w:eastAsia="標楷體" w:hAnsi="標楷體"/>
          <w:sz w:val="28"/>
          <w:szCs w:val="28"/>
        </w:rPr>
      </w:pPr>
      <w:r w:rsidRPr="00F07275">
        <w:rPr>
          <w:rFonts w:ascii="標楷體" w:eastAsia="標楷體" w:hAnsi="標楷體"/>
          <w:sz w:val="28"/>
          <w:szCs w:val="28"/>
        </w:rPr>
        <w:t>提案人：</w:t>
      </w:r>
      <w:r w:rsidRPr="00F07275">
        <w:rPr>
          <w:rFonts w:ascii="標楷體" w:eastAsia="標楷體" w:hAnsi="標楷體" w:hint="eastAsia"/>
          <w:sz w:val="28"/>
          <w:szCs w:val="28"/>
        </w:rPr>
        <w:t>吳宗憲</w:t>
      </w:r>
    </w:p>
    <w:p w14:paraId="0CA45913" w14:textId="77777777" w:rsidR="00BF432F" w:rsidRPr="00F07275" w:rsidRDefault="00BF432F" w:rsidP="00BF432F">
      <w:pPr>
        <w:snapToGrid w:val="0"/>
        <w:ind w:leftChars="1500" w:left="4776" w:hangingChars="420" w:hanging="1176"/>
        <w:jc w:val="both"/>
        <w:rPr>
          <w:rFonts w:ascii="標楷體" w:eastAsia="標楷體" w:hAnsi="標楷體"/>
          <w:sz w:val="28"/>
          <w:szCs w:val="28"/>
        </w:rPr>
      </w:pPr>
      <w:r w:rsidRPr="00F07275">
        <w:rPr>
          <w:rFonts w:ascii="標楷體" w:eastAsia="標楷體" w:hAnsi="標楷體"/>
          <w:sz w:val="28"/>
          <w:szCs w:val="28"/>
        </w:rPr>
        <w:t>連署人：</w:t>
      </w:r>
      <w:r w:rsidRPr="00F07275">
        <w:rPr>
          <w:rFonts w:ascii="標楷體" w:eastAsia="標楷體" w:hAnsi="標楷體" w:hint="eastAsia"/>
          <w:sz w:val="28"/>
          <w:szCs w:val="28"/>
        </w:rPr>
        <w:t>翁曉玲</w:t>
      </w:r>
      <w:r w:rsidRPr="00F07275">
        <w:rPr>
          <w:rFonts w:ascii="標楷體" w:eastAsia="標楷體" w:hAnsi="標楷體"/>
          <w:sz w:val="28"/>
          <w:szCs w:val="28"/>
        </w:rPr>
        <w:t xml:space="preserve">　</w:t>
      </w:r>
      <w:r w:rsidRPr="00F07275">
        <w:rPr>
          <w:rFonts w:ascii="標楷體" w:eastAsia="標楷體" w:hAnsi="標楷體" w:hint="eastAsia"/>
          <w:sz w:val="28"/>
          <w:szCs w:val="28"/>
        </w:rPr>
        <w:t>林倩綺</w:t>
      </w:r>
    </w:p>
    <w:p w14:paraId="17F9D3D2" w14:textId="7742DC21" w:rsidR="00BF432F" w:rsidRDefault="00BF432F" w:rsidP="006D0340">
      <w:pPr>
        <w:pStyle w:val="1"/>
        <w:rPr>
          <w:color w:val="FF0000"/>
        </w:rPr>
      </w:pPr>
      <w:r w:rsidRPr="00F07275">
        <w:t>115年度行政院人事行政總處歲出預算第2目「人事行政之政策規劃執行及發展」編列1億8,999萬5千</w:t>
      </w:r>
      <w:r w:rsidR="00FD33FE">
        <w:rPr>
          <w:rFonts w:hint="eastAsia"/>
        </w:rPr>
        <w:t>元</w:t>
      </w:r>
      <w:r w:rsidRPr="00F07275">
        <w:t>，凍結</w:t>
      </w:r>
      <w:r w:rsidRPr="00F07275">
        <w:rPr>
          <w:rFonts w:hint="eastAsia"/>
        </w:rPr>
        <w:t>678</w:t>
      </w:r>
      <w:r w:rsidRPr="00F07275">
        <w:t>萬</w:t>
      </w:r>
      <w:r w:rsidRPr="00F07275">
        <w:rPr>
          <w:rFonts w:hint="eastAsia"/>
        </w:rPr>
        <w:t>4千</w:t>
      </w:r>
      <w:r w:rsidRPr="00F07275">
        <w:t>元，俟向立法院司法及法制委員會提出書面報告後，始得動支。</w:t>
      </w:r>
      <w:r w:rsidRPr="000D2ED6">
        <w:t>【</w:t>
      </w:r>
      <w:r>
        <w:rPr>
          <w:rFonts w:hint="eastAsia"/>
        </w:rPr>
        <w:t>15-18、20、</w:t>
      </w:r>
      <w:r w:rsidR="00AC1035">
        <w:rPr>
          <w:rFonts w:hint="eastAsia"/>
        </w:rPr>
        <w:t>2</w:t>
      </w:r>
      <w:r w:rsidR="00AC1035">
        <w:t>2</w:t>
      </w:r>
      <w:r w:rsidR="00AC1035">
        <w:rPr>
          <w:rFonts w:hint="eastAsia"/>
        </w:rPr>
        <w:t>、</w:t>
      </w:r>
      <w:r>
        <w:rPr>
          <w:rFonts w:hint="eastAsia"/>
        </w:rPr>
        <w:t>24</w:t>
      </w:r>
      <w:r w:rsidRPr="000D2ED6">
        <w:t>】</w:t>
      </w:r>
    </w:p>
    <w:p w14:paraId="663FCF51" w14:textId="2E57E6B3" w:rsidR="00BF432F" w:rsidRPr="00F07275" w:rsidRDefault="00BF432F" w:rsidP="00F07275">
      <w:pPr>
        <w:pStyle w:val="21"/>
      </w:pPr>
      <w:r w:rsidRPr="00F07275">
        <w:t>提案人：</w:t>
      </w:r>
      <w:r w:rsidRPr="006D0340">
        <w:rPr>
          <w:rFonts w:hint="eastAsia"/>
          <w:spacing w:val="-14"/>
        </w:rPr>
        <w:t>翁曉玲</w:t>
      </w:r>
      <w:r w:rsidR="00AC1035" w:rsidRPr="006D0340">
        <w:rPr>
          <w:spacing w:val="-14"/>
        </w:rPr>
        <w:t xml:space="preserve">　</w:t>
      </w:r>
      <w:r w:rsidR="00AC1035" w:rsidRPr="006D0340">
        <w:rPr>
          <w:rFonts w:hint="eastAsia"/>
          <w:spacing w:val="-14"/>
        </w:rPr>
        <w:t>許宇甄</w:t>
      </w:r>
      <w:r w:rsidRPr="006D0340">
        <w:rPr>
          <w:spacing w:val="-14"/>
        </w:rPr>
        <w:t xml:space="preserve">　</w:t>
      </w:r>
      <w:r w:rsidRPr="006D0340">
        <w:rPr>
          <w:rFonts w:hint="eastAsia"/>
          <w:spacing w:val="-14"/>
        </w:rPr>
        <w:t>陳昭姿</w:t>
      </w:r>
      <w:r w:rsidRPr="006D0340">
        <w:rPr>
          <w:spacing w:val="-14"/>
        </w:rPr>
        <w:t xml:space="preserve">　</w:t>
      </w:r>
      <w:r w:rsidRPr="006D0340">
        <w:rPr>
          <w:rFonts w:hint="eastAsia"/>
          <w:spacing w:val="-14"/>
        </w:rPr>
        <w:t>吳宗憲</w:t>
      </w:r>
    </w:p>
    <w:p w14:paraId="390140D3" w14:textId="77777777" w:rsidR="00BF432F" w:rsidRPr="006D0340" w:rsidRDefault="00BF432F" w:rsidP="00BF432F">
      <w:pPr>
        <w:snapToGrid w:val="0"/>
        <w:ind w:leftChars="1500" w:left="4776" w:hangingChars="420" w:hanging="1176"/>
        <w:jc w:val="both"/>
        <w:rPr>
          <w:rFonts w:ascii="標楷體" w:eastAsia="標楷體" w:hAnsi="標楷體"/>
          <w:spacing w:val="-14"/>
          <w:sz w:val="28"/>
          <w:szCs w:val="28"/>
        </w:rPr>
      </w:pPr>
      <w:r w:rsidRPr="00F07275">
        <w:rPr>
          <w:rFonts w:ascii="標楷體" w:eastAsia="標楷體" w:hAnsi="標楷體" w:hint="eastAsia"/>
          <w:sz w:val="28"/>
          <w:szCs w:val="28"/>
        </w:rPr>
        <w:t xml:space="preserve">        </w:t>
      </w:r>
      <w:r w:rsidRPr="006D0340">
        <w:rPr>
          <w:rFonts w:ascii="標楷體" w:eastAsia="標楷體" w:hAnsi="標楷體" w:hint="eastAsia"/>
          <w:spacing w:val="-14"/>
          <w:sz w:val="28"/>
          <w:szCs w:val="28"/>
        </w:rPr>
        <w:t>劉書彬</w:t>
      </w:r>
    </w:p>
    <w:p w14:paraId="0020B5CC" w14:textId="402AC808" w:rsidR="00BF432F" w:rsidRPr="005A1BD6" w:rsidRDefault="00BF432F" w:rsidP="00F07275">
      <w:pPr>
        <w:pStyle w:val="21"/>
      </w:pPr>
      <w:r w:rsidRPr="005A1BD6">
        <w:t>連署人：</w:t>
      </w:r>
      <w:r w:rsidRPr="005A1BD6">
        <w:rPr>
          <w:rFonts w:hint="eastAsia"/>
        </w:rPr>
        <w:t>林倩綺</w:t>
      </w:r>
      <w:r w:rsidRPr="005A1BD6">
        <w:t xml:space="preserve">　</w:t>
      </w:r>
      <w:r w:rsidRPr="005A1BD6">
        <w:rPr>
          <w:rFonts w:hint="eastAsia"/>
        </w:rPr>
        <w:t>林沛祥</w:t>
      </w:r>
    </w:p>
    <w:p w14:paraId="01EB101B" w14:textId="77777777" w:rsidR="00BF432F" w:rsidRPr="005A1BD6" w:rsidRDefault="00BF432F" w:rsidP="006D0340">
      <w:pPr>
        <w:pStyle w:val="1"/>
      </w:pPr>
      <w:r w:rsidRPr="005A1BD6">
        <w:t>115年度行政院人事行政總處預算案於第1目「一般行政」項下「基本行政工作維持」編列預算3,917萬7千元，較114年度增加</w:t>
      </w:r>
      <w:r w:rsidRPr="005A1BD6">
        <w:rPr>
          <w:rFonts w:hint="eastAsia"/>
        </w:rPr>
        <w:t>325</w:t>
      </w:r>
      <w:r w:rsidRPr="005A1BD6">
        <w:t>萬</w:t>
      </w:r>
      <w:r w:rsidRPr="005A1BD6">
        <w:rPr>
          <w:rFonts w:hint="eastAsia"/>
        </w:rPr>
        <w:t>4</w:t>
      </w:r>
      <w:r w:rsidRPr="005A1BD6">
        <w:t>千元。預算說明指出，在基本行政工作維持費方面，主要係減列汰換空調箱等經費610萬5千元，卻又增列北棟辦公大樓管理費等935萬9千元，計淨增325萬4千元。</w:t>
      </w:r>
    </w:p>
    <w:p w14:paraId="31D589BE" w14:textId="77777777" w:rsidR="00BF432F" w:rsidRPr="005A1BD6" w:rsidRDefault="00BF432F" w:rsidP="006D0340">
      <w:pPr>
        <w:pStyle w:val="10"/>
      </w:pPr>
      <w:r w:rsidRPr="005A1BD6">
        <w:t>惟「基本行政工作維持」屬例行性支出，理應依員額、業務規模及實際辦公需求核實編列。115年度人事總處預算員額</w:t>
      </w:r>
      <w:r w:rsidRPr="005A1BD6">
        <w:lastRenderedPageBreak/>
        <w:t>由114年度286人減為281人，減少5人，行政支援成本本應更審慎控管，卻反而增加相關經費，已與撙節原則不符；若無具體說明費用結構及增列原因，難免有浮編疑慮。</w:t>
      </w:r>
    </w:p>
    <w:p w14:paraId="68120D22" w14:textId="77777777" w:rsidR="00BF432F" w:rsidRPr="005A1BD6" w:rsidRDefault="00BF432F" w:rsidP="006D0340">
      <w:pPr>
        <w:pStyle w:val="10"/>
      </w:pPr>
      <w:r w:rsidRPr="005A1BD6">
        <w:t>且查預算書內容，人事總處115年度編列北棟辦公大樓管理費1,357萬6千元，114年度法定預算則為</w:t>
      </w:r>
      <w:r w:rsidRPr="005A1BD6">
        <w:rPr>
          <w:rFonts w:hint="eastAsia"/>
        </w:rPr>
        <w:t>1</w:t>
      </w:r>
      <w:r w:rsidRPr="005A1BD6">
        <w:t>,</w:t>
      </w:r>
      <w:r w:rsidRPr="005A1BD6">
        <w:rPr>
          <w:rFonts w:hint="eastAsia"/>
        </w:rPr>
        <w:t>145</w:t>
      </w:r>
      <w:r w:rsidRPr="005A1BD6">
        <w:t>萬</w:t>
      </w:r>
      <w:r w:rsidRPr="005A1BD6">
        <w:rPr>
          <w:rFonts w:hint="eastAsia"/>
        </w:rPr>
        <w:t>9</w:t>
      </w:r>
      <w:r w:rsidRPr="005A1BD6">
        <w:t>千元</w:t>
      </w:r>
      <w:r w:rsidRPr="005A1BD6">
        <w:rPr>
          <w:rFonts w:hint="eastAsia"/>
        </w:rPr>
        <w:t>(含追加)</w:t>
      </w:r>
      <w:r w:rsidRPr="005A1BD6">
        <w:t>，增加</w:t>
      </w:r>
      <w:r w:rsidRPr="005A1BD6">
        <w:rPr>
          <w:rFonts w:hint="eastAsia"/>
        </w:rPr>
        <w:t>211</w:t>
      </w:r>
      <w:r w:rsidRPr="005A1BD6">
        <w:t>萬</w:t>
      </w:r>
      <w:r w:rsidRPr="005A1BD6">
        <w:rPr>
          <w:rFonts w:hint="eastAsia"/>
        </w:rPr>
        <w:t>7</w:t>
      </w:r>
      <w:r w:rsidRPr="005A1BD6">
        <w:t>千元，增幅達</w:t>
      </w:r>
      <w:r w:rsidRPr="005A1BD6">
        <w:rPr>
          <w:rFonts w:hint="eastAsia"/>
        </w:rPr>
        <w:t>18</w:t>
      </w:r>
      <w:r w:rsidRPr="005A1BD6">
        <w:t>.</w:t>
      </w:r>
      <w:r w:rsidRPr="005A1BD6">
        <w:rPr>
          <w:rFonts w:hint="eastAsia"/>
        </w:rPr>
        <w:t>5</w:t>
      </w:r>
      <w:r w:rsidRPr="005A1BD6">
        <w:t>%。相較同樣位於行政院中央聯合辦公大樓北棟之公平交易委員會，115年度編列北棟大樓管理費479萬1千元，扣除19樓屋頂平台修繕分攤款60萬6千元後，實際管理費為418萬5千元；114年度法定預算編列747萬元，扣除汰換空調箱及消防廣播設備分攤款311萬3千元後，實際管理費為435萬7千元，實際管理費反而減少17萬2千元，減幅約3.95%。</w:t>
      </w:r>
    </w:p>
    <w:p w14:paraId="178ECA7A" w14:textId="77777777" w:rsidR="00BF432F" w:rsidRPr="005A1BD6" w:rsidRDefault="00BF432F" w:rsidP="006D0340">
      <w:pPr>
        <w:pStyle w:val="10"/>
      </w:pPr>
      <w:r w:rsidRPr="005A1BD6">
        <w:t>同樣位於北棟大樓，為何有機關管理費下降，人事總處卻大幅上漲近四成？究竟是人事總處預算未依實際需求核實編列，還是北棟大樓管理費分攤機制失衡，使人事總處承擔不合理成本，均有釐清必要，不能僅以「管理費」概括帶過。</w:t>
      </w:r>
    </w:p>
    <w:p w14:paraId="5BFA6284" w14:textId="619FDE16" w:rsidR="00BF432F" w:rsidRPr="005A1BD6" w:rsidRDefault="00BF432F" w:rsidP="00FD33FE">
      <w:pPr>
        <w:pStyle w:val="10"/>
      </w:pPr>
      <w:r w:rsidRPr="005A1BD6">
        <w:t>更何況，人民正深受通膨與高房租之苦，統計顯示115年3月房租指數仍達110.21，續創歷史新高。政府本應穩定成本、帶頭撙節，人事總處卻在員額減少情況下增列近</w:t>
      </w:r>
      <w:r w:rsidRPr="005A1BD6">
        <w:rPr>
          <w:rFonts w:hint="eastAsia"/>
        </w:rPr>
        <w:t>二</w:t>
      </w:r>
      <w:r w:rsidRPr="005A1BD6">
        <w:t>成管理費，形同帶頭示範行政成本膨脹，對社會觀感及居住正義均有不良影響。行政機關可以主張大</w:t>
      </w:r>
      <w:r w:rsidR="00FD33FE" w:rsidRPr="005A1BD6">
        <w:t>樓管理費為必要支出，但不代表可以不受監督，不代表可以自然膨脹</w:t>
      </w:r>
      <w:r w:rsidR="00F64ECF">
        <w:rPr>
          <w:rFonts w:hint="eastAsia"/>
        </w:rPr>
        <w:t>，俟</w:t>
      </w:r>
      <w:r w:rsidRPr="005A1BD6">
        <w:t>行政院人事行政總處於</w:t>
      </w:r>
      <w:r w:rsidRPr="005A1BD6">
        <w:rPr>
          <w:rFonts w:hint="eastAsia"/>
        </w:rPr>
        <w:t>3</w:t>
      </w:r>
      <w:r w:rsidRPr="005A1BD6">
        <w:t>個月內向立法院司法及法制委員會提出</w:t>
      </w:r>
      <w:r w:rsidRPr="005A1BD6">
        <w:rPr>
          <w:rFonts w:hint="eastAsia"/>
        </w:rPr>
        <w:t>書面</w:t>
      </w:r>
      <w:r w:rsidRPr="005A1BD6">
        <w:t>報告，具體說明北棟辦公大樓管理費增加原因、分攤標準、使用空間變化、與同棟其他機關管理費差異，以及是否存在分攤不均或編列不實情形，以督促其核實編列、撙節支出。【5】</w:t>
      </w:r>
    </w:p>
    <w:p w14:paraId="2FA244A3" w14:textId="77777777" w:rsidR="00BF432F" w:rsidRPr="005A1BD6" w:rsidRDefault="00BF432F" w:rsidP="006D0340">
      <w:pPr>
        <w:pStyle w:val="21"/>
      </w:pPr>
      <w:r w:rsidRPr="005A1BD6">
        <w:t>提案人：許宇甄</w:t>
      </w:r>
    </w:p>
    <w:p w14:paraId="7F2FDD27" w14:textId="77777777" w:rsidR="00BF432F" w:rsidRPr="005A1BD6" w:rsidRDefault="00BF432F" w:rsidP="006D0340">
      <w:pPr>
        <w:pStyle w:val="21"/>
      </w:pPr>
      <w:r w:rsidRPr="005A1BD6">
        <w:t>連署人：林倩綺　林沛祥</w:t>
      </w:r>
    </w:p>
    <w:p w14:paraId="6A442D5B" w14:textId="77777777" w:rsidR="00BF432F" w:rsidRPr="005A1BD6" w:rsidRDefault="00BF432F" w:rsidP="006D0340">
      <w:pPr>
        <w:pStyle w:val="1"/>
      </w:pPr>
      <w:r w:rsidRPr="005A1BD6">
        <w:t>115年度行政院人事行政總處預算案於第1目「一般行政」項下「基本行政工作維持」中「業務費」之「一般事務費」</w:t>
      </w:r>
      <w:r w:rsidRPr="005A1BD6">
        <w:rPr>
          <w:rFonts w:hint="eastAsia"/>
        </w:rPr>
        <w:t>之「</w:t>
      </w:r>
      <w:r w:rsidRPr="005A1BD6">
        <w:t>北棟辦公大樓管理費</w:t>
      </w:r>
      <w:r w:rsidRPr="005A1BD6">
        <w:rPr>
          <w:rFonts w:hint="eastAsia"/>
        </w:rPr>
        <w:t>」</w:t>
      </w:r>
      <w:r w:rsidRPr="005A1BD6">
        <w:t>編列預算1,357萬6千元。較114年度編列之1,145萬9千元大幅增加211萬7千元，增幅約18.5%。惟說明欄位並無重大新建、汰換或特殊情況，未具體交代增加之理由及必要性。該項經費性質主要為水電支出及設備維護，按理應隨物價或一般維運需求小幅增減，實無短期內大幅成長近</w:t>
      </w:r>
      <w:r w:rsidRPr="005A1BD6">
        <w:rPr>
          <w:rFonts w:hint="eastAsia"/>
        </w:rPr>
        <w:t>二</w:t>
      </w:r>
      <w:r w:rsidRPr="005A1BD6">
        <w:t>成之理。</w:t>
      </w:r>
    </w:p>
    <w:p w14:paraId="548CF691" w14:textId="77777777" w:rsidR="00BF432F" w:rsidRPr="005A1BD6" w:rsidRDefault="00BF432F" w:rsidP="006D0340">
      <w:pPr>
        <w:pStyle w:val="10"/>
      </w:pPr>
      <w:r w:rsidRPr="005A1BD6">
        <w:lastRenderedPageBreak/>
        <w:t>爰此，</w:t>
      </w:r>
      <w:r w:rsidRPr="005A1BD6">
        <w:rPr>
          <w:rFonts w:hint="eastAsia"/>
        </w:rPr>
        <w:t>請</w:t>
      </w:r>
      <w:r w:rsidRPr="005A1BD6">
        <w:t>行政院人事行政總處</w:t>
      </w:r>
      <w:r w:rsidRPr="005A1BD6">
        <w:rPr>
          <w:rFonts w:hint="eastAsia"/>
        </w:rPr>
        <w:t>撙節支出，工程完竣後通報林委員倩綺辦公室知悉並提供完工資料（含前後對照表）</w:t>
      </w:r>
      <w:r w:rsidRPr="005A1BD6">
        <w:t>。【8】</w:t>
      </w:r>
    </w:p>
    <w:p w14:paraId="3EDBF1D7" w14:textId="77777777" w:rsidR="00BF432F" w:rsidRPr="005A1BD6" w:rsidRDefault="00BF432F" w:rsidP="006D0340">
      <w:pPr>
        <w:pStyle w:val="21"/>
      </w:pPr>
      <w:r w:rsidRPr="005A1BD6">
        <w:t>提案人：林倩綺</w:t>
      </w:r>
    </w:p>
    <w:p w14:paraId="16D9A4CB" w14:textId="77777777" w:rsidR="00BF432F" w:rsidRPr="005A1BD6" w:rsidRDefault="00BF432F" w:rsidP="006D0340">
      <w:pPr>
        <w:pStyle w:val="21"/>
      </w:pPr>
      <w:r w:rsidRPr="005A1BD6">
        <w:t>連署人：翁曉玲　陳昭姿</w:t>
      </w:r>
    </w:p>
    <w:p w14:paraId="3693B180" w14:textId="77777777" w:rsidR="00BF432F" w:rsidRPr="005A1BD6" w:rsidRDefault="00BF432F" w:rsidP="006D0340">
      <w:pPr>
        <w:pStyle w:val="1"/>
      </w:pPr>
      <w:r w:rsidRPr="005A1BD6">
        <w:t>全國教師工會總聯合會（全教總）及多個公教團體指出，儘管114年度已通案調薪3%，惟過去10年台灣人均GDP成長率達93.2%，公教待遇累積調幅僅14.7%，實質薪資成長嚴重落後於經濟果實與物價漲幅。全教總強烈主張116年度整體調薪幅度應至少達10%，且應同步調升「專業加給」與「學術研究加給」20%，以根本解決因長期薪資停滯導致的教職及公部門人才流失危機，並修復公務體系之市場競爭力。否則恐難以回應基層對「結構性調薪」之期待。若整體調薪幅度無法抵銷通膨影響並與GDP成長率接軌，將持續導致國考報考人數低迷與資深人才逃亡。</w:t>
      </w:r>
      <w:r w:rsidRPr="005A1BD6">
        <w:rPr>
          <w:rFonts w:hint="eastAsia"/>
        </w:rPr>
        <w:t>行政院</w:t>
      </w:r>
      <w:r w:rsidRPr="005A1BD6">
        <w:t>人事行政總處應落實「照顧基層」之宣示，將公教團體提出之「整體10%、加給20%」訴求納入正式評估，而非僅採取局部性補貼。</w:t>
      </w:r>
    </w:p>
    <w:p w14:paraId="5B0D465A" w14:textId="77777777" w:rsidR="00BF432F" w:rsidRPr="005A1BD6" w:rsidRDefault="00BF432F" w:rsidP="006D0340">
      <w:pPr>
        <w:pStyle w:val="10"/>
      </w:pPr>
      <w:r w:rsidRPr="005A1BD6">
        <w:t>爰此，要求</w:t>
      </w:r>
      <w:r w:rsidRPr="005A1BD6">
        <w:rPr>
          <w:rFonts w:hint="eastAsia"/>
        </w:rPr>
        <w:t>行政院</w:t>
      </w:r>
      <w:r w:rsidRPr="005A1BD6">
        <w:t>人事行政總處應</w:t>
      </w:r>
      <w:r w:rsidRPr="005A1BD6">
        <w:rPr>
          <w:rFonts w:hint="eastAsia"/>
        </w:rPr>
        <w:t>於</w:t>
      </w:r>
      <w:r w:rsidRPr="005A1BD6">
        <w:t>3個月內針對「116年度公教人員整體調薪10%暨專業/學術研究加給調升20%」</w:t>
      </w:r>
      <w:r w:rsidRPr="005A1BD6">
        <w:rPr>
          <w:rFonts w:hint="eastAsia"/>
        </w:rPr>
        <w:t>提出書面</w:t>
      </w:r>
      <w:r w:rsidRPr="005A1BD6">
        <w:t>報告，內容應具體包含如何透過大幅調薪縮減公教與民間之薪資差距、建立科學化之薪資審議機制，以及確保經濟成長果實由全體公教同仁共享之預算配置方案。【10】</w:t>
      </w:r>
    </w:p>
    <w:p w14:paraId="2750D625" w14:textId="77777777" w:rsidR="00BF432F" w:rsidRPr="005A1BD6" w:rsidRDefault="00BF432F" w:rsidP="006D0340">
      <w:pPr>
        <w:pStyle w:val="21"/>
      </w:pPr>
      <w:r w:rsidRPr="005A1BD6">
        <w:t>提案人：陳昭姿　劉書彬</w:t>
      </w:r>
    </w:p>
    <w:p w14:paraId="63340F0C" w14:textId="77777777" w:rsidR="00BF432F" w:rsidRPr="005A1BD6" w:rsidRDefault="00BF432F" w:rsidP="006D0340">
      <w:pPr>
        <w:pStyle w:val="21"/>
      </w:pPr>
      <w:r w:rsidRPr="005A1BD6">
        <w:t>連署人：翁曉玲　吳宗憲</w:t>
      </w:r>
    </w:p>
    <w:p w14:paraId="5F3235BF" w14:textId="77777777" w:rsidR="00BF432F" w:rsidRPr="005A1BD6" w:rsidRDefault="00BF432F" w:rsidP="006D0340">
      <w:pPr>
        <w:pStyle w:val="1"/>
      </w:pPr>
      <w:r w:rsidRPr="005A1BD6">
        <w:t>115年度行政院人事行政總處預算案於第2目「人事行政之政策規劃執行及發展」編列預算1億8,999萬5千元。</w:t>
      </w:r>
    </w:p>
    <w:p w14:paraId="2444B9EE" w14:textId="77777777" w:rsidR="00BF432F" w:rsidRPr="005A1BD6" w:rsidRDefault="00BF432F" w:rsidP="006D0340">
      <w:pPr>
        <w:pStyle w:val="10"/>
      </w:pPr>
      <w:r w:rsidRPr="005A1BD6">
        <w:t>軍公教調薪機制無納入基層代表、欠缺法律依據，早已備受外界批評。107年，監察院就曾指出「軍公教法定給與以外其他給與項目，部分欠缺明確法律依據等情案，行政院自96年推動法制化作業迄今仍未有具體進展，遷延過久。」</w:t>
      </w:r>
    </w:p>
    <w:p w14:paraId="7B9D9542" w14:textId="24535288" w:rsidR="00BF432F" w:rsidRPr="005A1BD6" w:rsidRDefault="00BF432F" w:rsidP="006D0340">
      <w:pPr>
        <w:pStyle w:val="10"/>
      </w:pPr>
      <w:r w:rsidRPr="005A1BD6">
        <w:t>113年5月，行政院人事行政總處送出「軍公教調薪機制法制化」書面報告，回應將朝法制化方向規</w:t>
      </w:r>
      <w:r w:rsidRPr="005A1BD6">
        <w:rPr>
          <w:rFonts w:hint="eastAsia"/>
        </w:rPr>
        <w:t>劃</w:t>
      </w:r>
      <w:r w:rsidRPr="005A1BD6">
        <w:t>，並以113年底前報請行政院送請立法院審議為目標。113年9月30日，人事長於備詢時承諾113年底以前會將法案送至立法院，人事長更信誓旦旦掛保證「不會跳票」。但是到113年年底，</w:t>
      </w:r>
      <w:r w:rsidR="00FD33FE" w:rsidRPr="005A1BD6">
        <w:rPr>
          <w:rFonts w:hint="eastAsia"/>
        </w:rPr>
        <w:t>「軍</w:t>
      </w:r>
      <w:r w:rsidRPr="005A1BD6">
        <w:t>公教人員待遇調整條例草案</w:t>
      </w:r>
      <w:r w:rsidR="00FD33FE" w:rsidRPr="005A1BD6">
        <w:rPr>
          <w:rFonts w:hint="eastAsia"/>
        </w:rPr>
        <w:t>」</w:t>
      </w:r>
      <w:r w:rsidRPr="005A1BD6">
        <w:t>仍不見蹤影。</w:t>
      </w:r>
    </w:p>
    <w:p w14:paraId="6773EED9" w14:textId="21D000E0" w:rsidR="00BF432F" w:rsidRPr="005A1BD6" w:rsidRDefault="00BF432F" w:rsidP="006D0340">
      <w:pPr>
        <w:pStyle w:val="10"/>
      </w:pPr>
      <w:r w:rsidRPr="005A1BD6">
        <w:t>114年3月20日，人</w:t>
      </w:r>
      <w:r w:rsidR="00FD33FE" w:rsidRPr="005A1BD6">
        <w:rPr>
          <w:rFonts w:hint="eastAsia"/>
        </w:rPr>
        <w:t>事</w:t>
      </w:r>
      <w:r w:rsidRPr="005A1BD6">
        <w:t>總</w:t>
      </w:r>
      <w:r w:rsidR="00FD33FE" w:rsidRPr="005A1BD6">
        <w:rPr>
          <w:rFonts w:hint="eastAsia"/>
        </w:rPr>
        <w:t>處</w:t>
      </w:r>
      <w:r w:rsidRPr="005A1BD6">
        <w:t>於立法院備詢時表示法案已經送行政院審查，要等行政院的議程。114年1</w:t>
      </w:r>
      <w:r w:rsidRPr="000D2ED6">
        <w:t>0月29日人</w:t>
      </w:r>
      <w:r w:rsidR="00FD33FE">
        <w:rPr>
          <w:rFonts w:hint="eastAsia"/>
        </w:rPr>
        <w:t>事</w:t>
      </w:r>
      <w:r w:rsidRPr="000D2ED6">
        <w:t>總</w:t>
      </w:r>
      <w:r w:rsidR="00FD33FE">
        <w:rPr>
          <w:rFonts w:hint="eastAsia"/>
        </w:rPr>
        <w:lastRenderedPageBreak/>
        <w:t>處</w:t>
      </w:r>
      <w:r w:rsidRPr="000D2ED6">
        <w:t>於立法院備詢時，仍表示草案仍在政院審議流程，並提到基層代表將預</w:t>
      </w:r>
      <w:r w:rsidRPr="005A1BD6">
        <w:t>計達</w:t>
      </w:r>
      <w:r w:rsidRPr="005A1BD6">
        <w:rPr>
          <w:rFonts w:hint="eastAsia"/>
        </w:rPr>
        <w:t>二</w:t>
      </w:r>
      <w:r w:rsidRPr="005A1BD6">
        <w:t>成。至115年5月6日，人</w:t>
      </w:r>
      <w:r w:rsidR="00FD33FE" w:rsidRPr="005A1BD6">
        <w:rPr>
          <w:rFonts w:hint="eastAsia"/>
        </w:rPr>
        <w:t>事</w:t>
      </w:r>
      <w:r w:rsidRPr="005A1BD6">
        <w:t>總</w:t>
      </w:r>
      <w:r w:rsidR="00FD33FE" w:rsidRPr="005A1BD6">
        <w:rPr>
          <w:rFonts w:hint="eastAsia"/>
        </w:rPr>
        <w:t>處</w:t>
      </w:r>
      <w:r w:rsidRPr="005A1BD6">
        <w:t>於立法院備詢時，仍表示草案仍在政院審議。</w:t>
      </w:r>
    </w:p>
    <w:p w14:paraId="659EEDFF" w14:textId="7F53796F" w:rsidR="00BF432F" w:rsidRDefault="00BF432F" w:rsidP="006D0340">
      <w:pPr>
        <w:pStyle w:val="10"/>
      </w:pPr>
      <w:r w:rsidRPr="005A1BD6">
        <w:t>軍公教調薪機制法制化已延宕多年，一再跳票，人</w:t>
      </w:r>
      <w:r w:rsidR="00FD33FE" w:rsidRPr="005A1BD6">
        <w:rPr>
          <w:rFonts w:hint="eastAsia"/>
        </w:rPr>
        <w:t>事</w:t>
      </w:r>
      <w:r w:rsidRPr="005A1BD6">
        <w:t>總</w:t>
      </w:r>
      <w:r w:rsidR="00FD33FE" w:rsidRPr="005A1BD6">
        <w:rPr>
          <w:rFonts w:hint="eastAsia"/>
        </w:rPr>
        <w:t>處</w:t>
      </w:r>
      <w:r w:rsidRPr="005A1BD6">
        <w:t>應兌現對全國軍公教人員的承諾。另基層代表倘若僅占</w:t>
      </w:r>
      <w:r w:rsidRPr="005A1BD6">
        <w:rPr>
          <w:rFonts w:hint="eastAsia"/>
        </w:rPr>
        <w:t>二</w:t>
      </w:r>
      <w:r w:rsidRPr="005A1BD6">
        <w:t>成，恐對基層發聲不利。爰請</w:t>
      </w:r>
      <w:r w:rsidRPr="005A1BD6">
        <w:rPr>
          <w:rFonts w:hint="eastAsia"/>
        </w:rPr>
        <w:t>行政院</w:t>
      </w:r>
      <w:r w:rsidRPr="005A1BD6">
        <w:t>人</w:t>
      </w:r>
      <w:r w:rsidRPr="005A1BD6">
        <w:rPr>
          <w:rFonts w:hint="eastAsia"/>
        </w:rPr>
        <w:t>事行政</w:t>
      </w:r>
      <w:r w:rsidRPr="005A1BD6">
        <w:t>總</w:t>
      </w:r>
      <w:r w:rsidRPr="005A1BD6">
        <w:rPr>
          <w:rFonts w:hint="eastAsia"/>
        </w:rPr>
        <w:t>處</w:t>
      </w:r>
      <w:r w:rsidRPr="005A1BD6">
        <w:t>於3個月內</w:t>
      </w:r>
      <w:r w:rsidRPr="005A1BD6">
        <w:rPr>
          <w:rFonts w:hint="eastAsia"/>
        </w:rPr>
        <w:t>就</w:t>
      </w:r>
      <w:r w:rsidRPr="005A1BD6">
        <w:t>軍公教調薪機制法制化進度</w:t>
      </w:r>
      <w:r w:rsidRPr="005A1BD6">
        <w:rPr>
          <w:rFonts w:hint="eastAsia"/>
        </w:rPr>
        <w:t>及</w:t>
      </w:r>
      <w:r w:rsidRPr="005A1BD6">
        <w:t>基層代表比例</w:t>
      </w:r>
      <w:r w:rsidRPr="005A1BD6">
        <w:rPr>
          <w:rFonts w:hint="eastAsia"/>
        </w:rPr>
        <w:t>向立法院</w:t>
      </w:r>
      <w:r w:rsidRPr="005A1BD6">
        <w:t>司法</w:t>
      </w:r>
      <w:r w:rsidR="008967C2" w:rsidRPr="005A1BD6">
        <w:rPr>
          <w:rFonts w:hint="eastAsia"/>
        </w:rPr>
        <w:t>及</w:t>
      </w:r>
      <w:r w:rsidRPr="005A1BD6">
        <w:t>法制委員會</w:t>
      </w:r>
      <w:r w:rsidRPr="005A1BD6">
        <w:rPr>
          <w:rFonts w:hint="eastAsia"/>
        </w:rPr>
        <w:t>提出</w:t>
      </w:r>
      <w:r w:rsidRPr="005A1BD6">
        <w:t>書面報告。【1</w:t>
      </w:r>
      <w:r w:rsidRPr="005A1BD6">
        <w:rPr>
          <w:rFonts w:hint="eastAsia"/>
        </w:rPr>
        <w:t>2】</w:t>
      </w:r>
    </w:p>
    <w:p w14:paraId="1D1D3072" w14:textId="77777777" w:rsidR="00BF432F" w:rsidRDefault="00BF432F" w:rsidP="006D0340">
      <w:pPr>
        <w:pStyle w:val="21"/>
      </w:pPr>
      <w:r>
        <w:t>提案人：陳昭姿</w:t>
      </w:r>
    </w:p>
    <w:p w14:paraId="4A6D7DD7" w14:textId="04D92300" w:rsidR="00BF432F" w:rsidRDefault="00BF432F" w:rsidP="006D0340">
      <w:pPr>
        <w:pStyle w:val="21"/>
      </w:pPr>
      <w:r>
        <w:t>連署人：翁曉玲　林沛祥</w:t>
      </w:r>
    </w:p>
    <w:p w14:paraId="65817E9D" w14:textId="77777777" w:rsidR="00BF432F" w:rsidRDefault="00BF432F" w:rsidP="006D0340">
      <w:pPr>
        <w:pStyle w:val="1"/>
      </w:pPr>
      <w:r w:rsidRPr="000D2ED6">
        <w:t>115年度行政院人事行政總處預算案於第2目「人事行政之政策規劃執行及發展」項下「合理配置組設人力」編列預算270萬3千元，較114年度增加109萬1千元，增幅達67.7%，主要係增列員額評鑑及進用約用人員等經費。</w:t>
      </w:r>
    </w:p>
    <w:p w14:paraId="33E34140" w14:textId="77777777" w:rsidR="00BF432F" w:rsidRDefault="00BF432F" w:rsidP="006D0340">
      <w:pPr>
        <w:pStyle w:val="10"/>
      </w:pPr>
      <w:r w:rsidRPr="000D2ED6">
        <w:t>人事總處為中央機關員額管理主管機關，職責在於檢討各機關組織、業務及人力配置，使有限人力用於核心業務。惟115年度「合理配置組設人力」項下新增約用人員酬金60萬元。人事總處一方面負責檢討各機關員額與多元人力運用，另一方面卻在同一科目新增約用人力，究係協助員額評鑑、資料整理、行政庶務，或參與實質審查各機關人力配置，均未具體說明。若僅為行政工作，應先由現有人力調整支應；若涉及實質審查，更應說明其專業資格、權責分工及必要性。</w:t>
      </w:r>
    </w:p>
    <w:p w14:paraId="304B0387" w14:textId="77777777" w:rsidR="00BF432F" w:rsidRDefault="00BF432F" w:rsidP="006D0340">
      <w:pPr>
        <w:pStyle w:val="10"/>
      </w:pPr>
      <w:r w:rsidRPr="000D2ED6">
        <w:t>另據人事總處備詢說明，113年度員額評鑑已對39個機關提出456項評鑑建議，惟其解除列管標準，似僅以各機關「朝評鑑建議方向發展」即可認定辦理，並未設定明確量化指標、完成期限及責任追蹤。如此一來，員額評鑑恐流於「有改善方向即可交差」的和稀泥式管考，難以真正檢驗各機關是否完成業務簡化、人力重分配及效能提升。</w:t>
      </w:r>
    </w:p>
    <w:p w14:paraId="48D30C43" w14:textId="77777777" w:rsidR="00BF432F" w:rsidRDefault="00BF432F" w:rsidP="006D0340">
      <w:pPr>
        <w:pStyle w:val="10"/>
      </w:pPr>
      <w:r w:rsidRPr="000D2ED6">
        <w:t>目前各部會一方面喊缺人，另一方面約用、委外及臨時性人力持續存在；一方面宣稱員額受控，另一方面新設機關、新增任務及新增計畫不斷擴張。若員額評鑑不能有效要求各機關檢討去任務化、流程簡化、委外合理性及人力錯置問題，預算再增加，也只是讓評鑑報告一本接一本，實際上無法減輕基層負擔。</w:t>
      </w:r>
    </w:p>
    <w:p w14:paraId="638A4559" w14:textId="77777777" w:rsidR="00BF432F" w:rsidRPr="005A1BD6" w:rsidRDefault="00BF432F" w:rsidP="006D0340">
      <w:pPr>
        <w:pStyle w:val="10"/>
      </w:pPr>
      <w:r w:rsidRPr="000D2ED6">
        <w:t>尤其115年度又將辦理第8次員額評鑑，若前次456項建議未具體揭露辦理進度、解除列管標準及未完成原因，即再編</w:t>
      </w:r>
      <w:r w:rsidRPr="000D2ED6">
        <w:lastRenderedPageBreak/>
        <w:t>列經費推動下一輪評鑑，恐有重複作業、績效不明之虞。員額管理不</w:t>
      </w:r>
      <w:r w:rsidRPr="005A1BD6">
        <w:t>是寫報告給自己看，而是要讓人民看到政府組織有沒有瘦身、業務有沒有簡化、人力有沒有用在刀口上。</w:t>
      </w:r>
    </w:p>
    <w:p w14:paraId="4A934D75" w14:textId="77777777" w:rsidR="00BF432F" w:rsidRPr="005A1BD6" w:rsidRDefault="00BF432F" w:rsidP="006D0340">
      <w:pPr>
        <w:pStyle w:val="10"/>
      </w:pPr>
      <w:r w:rsidRPr="005A1BD6">
        <w:t>爰</w:t>
      </w:r>
      <w:r w:rsidRPr="005A1BD6">
        <w:rPr>
          <w:rFonts w:hint="eastAsia"/>
        </w:rPr>
        <w:t>請</w:t>
      </w:r>
      <w:r w:rsidRPr="005A1BD6">
        <w:t>行政院人事行政總處於3個月內向立法院司法及法制委員會提出</w:t>
      </w:r>
      <w:r w:rsidRPr="005A1BD6">
        <w:rPr>
          <w:rFonts w:hint="eastAsia"/>
        </w:rPr>
        <w:t>書面</w:t>
      </w:r>
      <w:r w:rsidRPr="005A1BD6">
        <w:t>報告，說明113年度員額評鑑456項建議之辦理進度、解除列管標準、未完成原因、115年度第8次員額評鑑重點，以及新增約用人員之必要性、工作內容與權責分工。【19】</w:t>
      </w:r>
    </w:p>
    <w:p w14:paraId="100F7173" w14:textId="77777777" w:rsidR="00BF432F" w:rsidRPr="005A1BD6" w:rsidRDefault="00BF432F" w:rsidP="006D0340">
      <w:pPr>
        <w:pStyle w:val="21"/>
      </w:pPr>
      <w:r w:rsidRPr="005A1BD6">
        <w:t>提案人：許宇甄</w:t>
      </w:r>
    </w:p>
    <w:p w14:paraId="3B800A7D" w14:textId="77777777" w:rsidR="00BF432F" w:rsidRPr="005A1BD6" w:rsidRDefault="00BF432F" w:rsidP="006D0340">
      <w:pPr>
        <w:pStyle w:val="21"/>
      </w:pPr>
      <w:r w:rsidRPr="005A1BD6">
        <w:t>連署人：林倩綺　林沛祥</w:t>
      </w:r>
    </w:p>
    <w:p w14:paraId="5C4F3022" w14:textId="77777777" w:rsidR="00BF432F" w:rsidRPr="005A1BD6" w:rsidRDefault="00BF432F" w:rsidP="006D0340">
      <w:pPr>
        <w:pStyle w:val="1"/>
      </w:pPr>
      <w:r w:rsidRPr="005A1BD6">
        <w:t>有鑑於</w:t>
      </w:r>
      <w:r w:rsidRPr="005A1BD6">
        <w:rPr>
          <w:rFonts w:hint="eastAsia"/>
        </w:rPr>
        <w:t>行政院</w:t>
      </w:r>
      <w:r w:rsidRPr="005A1BD6">
        <w:t>人事</w:t>
      </w:r>
      <w:r w:rsidRPr="005A1BD6">
        <w:rPr>
          <w:rFonts w:hint="eastAsia"/>
        </w:rPr>
        <w:t>行政</w:t>
      </w:r>
      <w:r w:rsidRPr="005A1BD6">
        <w:t>總處已於113年度辦竣第7次全面性員額評鑑，並針對39個機關提出多項改進建議。其報告指出多數機關需檢討業務辦理方式，並建議將人力調整至核心業務或重大施政需求。爰要求</w:t>
      </w:r>
      <w:r w:rsidRPr="005A1BD6">
        <w:rPr>
          <w:rFonts w:hint="eastAsia"/>
        </w:rPr>
        <w:t>行政院</w:t>
      </w:r>
      <w:r w:rsidRPr="005A1BD6">
        <w:t>人事</w:t>
      </w:r>
      <w:r w:rsidRPr="005A1BD6">
        <w:rPr>
          <w:rFonts w:hint="eastAsia"/>
        </w:rPr>
        <w:t>行政</w:t>
      </w:r>
      <w:r w:rsidRPr="005A1BD6">
        <w:t>總處</w:t>
      </w:r>
      <w:r w:rsidRPr="005A1BD6">
        <w:rPr>
          <w:rFonts w:hint="eastAsia"/>
        </w:rPr>
        <w:t>於3個月內</w:t>
      </w:r>
      <w:r w:rsidRPr="005A1BD6">
        <w:t>向立法院</w:t>
      </w:r>
      <w:r w:rsidRPr="005A1BD6">
        <w:rPr>
          <w:rFonts w:hint="eastAsia"/>
        </w:rPr>
        <w:t>司法及法制委員會</w:t>
      </w:r>
      <w:r w:rsidRPr="005A1BD6">
        <w:t>提交「113年度員額評鑑建議事項之後續執行管考結果</w:t>
      </w:r>
      <w:r w:rsidRPr="005A1BD6">
        <w:rPr>
          <w:rFonts w:hint="eastAsia"/>
        </w:rPr>
        <w:t>書面</w:t>
      </w:r>
      <w:r w:rsidRPr="005A1BD6">
        <w:t>報告」。【21】</w:t>
      </w:r>
    </w:p>
    <w:p w14:paraId="64F67765" w14:textId="77777777" w:rsidR="00BF432F" w:rsidRPr="005A1BD6" w:rsidRDefault="00BF432F" w:rsidP="006D0340">
      <w:pPr>
        <w:pStyle w:val="21"/>
      </w:pPr>
      <w:r w:rsidRPr="005A1BD6">
        <w:t xml:space="preserve">提案人：張雅琳　</w:t>
      </w:r>
      <w:r w:rsidRPr="005A1BD6">
        <w:rPr>
          <w:spacing w:val="-20"/>
          <w:w w:val="88"/>
        </w:rPr>
        <w:t>伍麗華Saidhai．Tahovecahe</w:t>
      </w:r>
    </w:p>
    <w:p w14:paraId="212BE168" w14:textId="3D85212C" w:rsidR="00BF432F" w:rsidRPr="005A1BD6" w:rsidRDefault="00BF432F" w:rsidP="006D0340">
      <w:pPr>
        <w:pStyle w:val="21"/>
      </w:pPr>
      <w:r w:rsidRPr="005A1BD6">
        <w:t>連署人：沈發惠　范　雲</w:t>
      </w:r>
    </w:p>
    <w:p w14:paraId="2B7317F1" w14:textId="48B8F1D6" w:rsidR="00BF432F" w:rsidRPr="005A1BD6" w:rsidRDefault="00BF432F" w:rsidP="006D0340">
      <w:pPr>
        <w:pStyle w:val="1"/>
      </w:pPr>
      <w:r w:rsidRPr="005A1BD6">
        <w:t>有關113年度全國公務人員離職人數達3,183人（中央1,593人、地方1,590人），相較109年度的1,703人，增幅高達86.9%。且離職者中以「薦任職等」</w:t>
      </w:r>
      <w:r w:rsidRPr="005A1BD6">
        <w:rPr>
          <w:rFonts w:hint="eastAsia"/>
        </w:rPr>
        <w:t>占</w:t>
      </w:r>
      <w:r w:rsidRPr="005A1BD6">
        <w:t>比最高，高達54.54%。薦任官是政府執行業務的中堅力量，大量流失將嚴重影響政策執行品質與連續性。其中，30歲以下離職者</w:t>
      </w:r>
      <w:r w:rsidRPr="005A1BD6">
        <w:rPr>
          <w:rFonts w:hint="eastAsia"/>
        </w:rPr>
        <w:t>占</w:t>
      </w:r>
      <w:r w:rsidRPr="005A1BD6">
        <w:t>比逐年攀升（113年達33.43%），且絕大多數為大學以上學歷，這顯示公務體系對優秀年輕人才的吸引力正在急速衰退。</w:t>
      </w:r>
      <w:r w:rsidRPr="005A1BD6">
        <w:rPr>
          <w:rFonts w:hint="eastAsia"/>
        </w:rPr>
        <w:t>行政院</w:t>
      </w:r>
      <w:r w:rsidRPr="005A1BD6">
        <w:t>人事</w:t>
      </w:r>
      <w:r w:rsidRPr="005A1BD6">
        <w:rPr>
          <w:rFonts w:hint="eastAsia"/>
        </w:rPr>
        <w:t>行政</w:t>
      </w:r>
      <w:r w:rsidRPr="005A1BD6">
        <w:t>總處應研謀評估「薪資待遇調整</w:t>
      </w:r>
      <w:r w:rsidR="00FD33FE" w:rsidRPr="005A1BD6">
        <w:t>」與「職場環境優化」對減少薦任官及年輕人員離職之實質關聯性，並</w:t>
      </w:r>
      <w:r w:rsidRPr="005A1BD6">
        <w:t>提出改善方案。於3個月內向立法院司法及法制委員會提出書面報告。【23】</w:t>
      </w:r>
    </w:p>
    <w:p w14:paraId="796A4520" w14:textId="77777777"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 xml:space="preserve">提案人：張雅琳　</w:t>
      </w:r>
      <w:r w:rsidRPr="005A1BD6">
        <w:rPr>
          <w:rFonts w:ascii="標楷體" w:eastAsia="標楷體" w:hAnsi="標楷體"/>
          <w:color w:val="000000"/>
          <w:spacing w:val="-20"/>
          <w:w w:val="90"/>
          <w:sz w:val="28"/>
          <w:szCs w:val="28"/>
        </w:rPr>
        <w:t>伍麗華Sa</w:t>
      </w:r>
      <w:r w:rsidRPr="005A1BD6">
        <w:rPr>
          <w:rFonts w:ascii="標楷體" w:eastAsia="標楷體" w:hAnsi="標楷體"/>
          <w:color w:val="000000"/>
          <w:spacing w:val="-20"/>
          <w:w w:val="88"/>
          <w:sz w:val="28"/>
          <w:szCs w:val="28"/>
        </w:rPr>
        <w:t>idhai．Tahovecahe</w:t>
      </w:r>
    </w:p>
    <w:p w14:paraId="570FDAD1" w14:textId="6E81215A"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連署人：沈發惠　范　雲</w:t>
      </w:r>
    </w:p>
    <w:p w14:paraId="164A639D" w14:textId="57E03F25" w:rsidR="00BF432F" w:rsidRPr="005A1BD6" w:rsidRDefault="00BF432F" w:rsidP="000054AC">
      <w:pPr>
        <w:pStyle w:val="1"/>
      </w:pPr>
      <w:r w:rsidRPr="005A1BD6">
        <w:t>115年度行政院人事行政總處預算案於第2目「人事行政之政策規劃執行及發展」項下「智慧永續人資發展」中「業務費」編列預算1,038萬元。人事總處未來欲辦理「智慧永續人資發展」計畫，該計畫導入生成式AI優化人資流程（如：智慧系統、智慧客服），涉及大量全國人事與差勤敏感資料，也易導致AI個資之流出風險。有鑑於此，人事總處健全資安防護措施，並定期查核AI</w:t>
      </w:r>
      <w:r w:rsidR="008967C2" w:rsidRPr="005A1BD6">
        <w:t>模型分析結果之正確性，以保障公務人員個資安</w:t>
      </w:r>
      <w:r w:rsidR="008967C2" w:rsidRPr="005A1BD6">
        <w:lastRenderedPageBreak/>
        <w:t>全。</w:t>
      </w:r>
      <w:r w:rsidRPr="005A1BD6">
        <w:t>爰</w:t>
      </w:r>
      <w:r w:rsidR="00FD33FE" w:rsidRPr="005A1BD6">
        <w:rPr>
          <w:rFonts w:hint="eastAsia"/>
        </w:rPr>
        <w:t>請</w:t>
      </w:r>
      <w:r w:rsidRPr="005A1BD6">
        <w:t>行政院人事行政總處於3個月內向立法院司法及法制委員會提出書面報告。【25】</w:t>
      </w:r>
    </w:p>
    <w:p w14:paraId="3EDC2FCA" w14:textId="77777777"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 xml:space="preserve">提案人：張雅琳　</w:t>
      </w:r>
      <w:r w:rsidRPr="005A1BD6">
        <w:rPr>
          <w:rFonts w:ascii="標楷體" w:eastAsia="標楷體" w:hAnsi="標楷體"/>
          <w:color w:val="000000"/>
          <w:spacing w:val="-20"/>
          <w:w w:val="88"/>
          <w:sz w:val="28"/>
          <w:szCs w:val="28"/>
        </w:rPr>
        <w:t>伍麗華Saidhai．Tahovecahe</w:t>
      </w:r>
    </w:p>
    <w:p w14:paraId="2022233D" w14:textId="77777777"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連署人：沈發惠　范　雲</w:t>
      </w:r>
    </w:p>
    <w:p w14:paraId="3E46567F" w14:textId="78597174" w:rsidR="00BF432F" w:rsidRPr="005A1BD6" w:rsidRDefault="00BF432F" w:rsidP="000054AC">
      <w:pPr>
        <w:pStyle w:val="1"/>
      </w:pPr>
      <w:r w:rsidRPr="005A1BD6">
        <w:t>有鑑於行政院人事行政總處自</w:t>
      </w:r>
      <w:r w:rsidR="00F64ECF">
        <w:rPr>
          <w:rFonts w:hint="eastAsia"/>
        </w:rPr>
        <w:t>2017</w:t>
      </w:r>
      <w:r w:rsidRPr="005A1BD6">
        <w:t>年起推動公務人員終身學習制度，規定每人每年應完成20小時與業務相關之學習時數，其中包含10小時必修課程及10小時自行選讀課程，制度立意在於強化公務人員專業能力與持續進修。</w:t>
      </w:r>
    </w:p>
    <w:p w14:paraId="2B711629" w14:textId="357EB948" w:rsidR="00BF432F" w:rsidRPr="005A1BD6" w:rsidRDefault="00BF432F" w:rsidP="000054AC">
      <w:pPr>
        <w:pStyle w:val="10"/>
      </w:pPr>
      <w:r w:rsidRPr="005A1BD6">
        <w:t>然現行制度之績效評估，多以「學習時數」及「參與人數」作為主要指標，對於實際政策問題之改善效果，尚缺乏具體衡量機制。爰此，建請行政院人事行政總處評估現行終身學習指標與檢討課程設計與實務運用</w:t>
      </w:r>
      <w:r w:rsidR="00FD33FE" w:rsidRPr="005A1BD6">
        <w:rPr>
          <w:rFonts w:hint="eastAsia"/>
        </w:rPr>
        <w:t>，</w:t>
      </w:r>
      <w:r w:rsidRPr="005A1BD6">
        <w:t>於3個月內提送書面報告予</w:t>
      </w:r>
      <w:r w:rsidRPr="005A1BD6">
        <w:rPr>
          <w:rFonts w:hint="eastAsia"/>
        </w:rPr>
        <w:t>立法院</w:t>
      </w:r>
      <w:r w:rsidRPr="005A1BD6">
        <w:t>司法及法制委員會。【26】</w:t>
      </w:r>
    </w:p>
    <w:p w14:paraId="2C6BFC6F" w14:textId="77777777" w:rsidR="00BF432F" w:rsidRPr="005A1BD6" w:rsidRDefault="00BF432F" w:rsidP="000054AC">
      <w:pPr>
        <w:pStyle w:val="21"/>
      </w:pPr>
      <w:r w:rsidRPr="005A1BD6">
        <w:t>提案人：莊瑞雄</w:t>
      </w:r>
    </w:p>
    <w:p w14:paraId="45C00A7C" w14:textId="77777777" w:rsidR="00BF432F" w:rsidRPr="005A1BD6" w:rsidRDefault="00BF432F" w:rsidP="000054AC">
      <w:pPr>
        <w:pStyle w:val="21"/>
      </w:pPr>
      <w:r w:rsidRPr="005A1BD6">
        <w:t>連署人：沈發惠　張雅琳</w:t>
      </w:r>
    </w:p>
    <w:p w14:paraId="735F20EB" w14:textId="77777777" w:rsidR="00BF432F" w:rsidRPr="005A1BD6" w:rsidRDefault="00BF432F" w:rsidP="000054AC">
      <w:pPr>
        <w:pStyle w:val="1"/>
      </w:pPr>
      <w:r w:rsidRPr="005A1BD6">
        <w:t>查行政院人事行政總處《軍公教員工待遇審議委員會設置要點》第</w:t>
      </w:r>
      <w:r w:rsidRPr="005A1BD6">
        <w:rPr>
          <w:rFonts w:hint="eastAsia"/>
        </w:rPr>
        <w:t>2</w:t>
      </w:r>
      <w:r w:rsidRPr="005A1BD6">
        <w:t>條明揭，「軍公教員工待遇審議委員會」之任務係軍公教員工年度待遇調整、加給項目及標準、待遇改進方案等審議，攸關員工基本工作權益。</w:t>
      </w:r>
    </w:p>
    <w:p w14:paraId="237ECA77" w14:textId="77777777" w:rsidR="00BF432F" w:rsidRPr="005A1BD6" w:rsidRDefault="00BF432F" w:rsidP="000054AC">
      <w:pPr>
        <w:pStyle w:val="10"/>
      </w:pPr>
      <w:r w:rsidRPr="005A1BD6">
        <w:t>惟軍公教員工待遇審議委員會14至16名委員中，9人為各部會簡任12職等以上官員代表，4至6人的地方政府代表，另設4名學者代表，並無設置任何</w:t>
      </w:r>
      <w:r w:rsidRPr="005A1BD6">
        <w:rPr>
          <w:rFonts w:hint="eastAsia"/>
        </w:rPr>
        <w:t>1</w:t>
      </w:r>
      <w:r w:rsidRPr="005A1BD6">
        <w:t>席次予「基層員工代表」。相較於職能相似之「最低工資審議委員會」明定應有勞方代表，軍公教待遇審議機制顯過於封閉，未能落實利害關係人參與之民主精神。</w:t>
      </w:r>
    </w:p>
    <w:p w14:paraId="5229EAB5" w14:textId="0DBE33F1" w:rsidR="00BF432F" w:rsidRPr="005A1BD6" w:rsidRDefault="00BF432F" w:rsidP="000054AC">
      <w:pPr>
        <w:pStyle w:val="10"/>
      </w:pPr>
      <w:r w:rsidRPr="005A1BD6">
        <w:t>人事行政總處曾於</w:t>
      </w:r>
      <w:r w:rsidR="00F64ECF">
        <w:rPr>
          <w:rFonts w:hint="eastAsia"/>
        </w:rPr>
        <w:t>2025</w:t>
      </w:r>
      <w:r w:rsidRPr="005A1BD6">
        <w:t>年10月對外承諾，軍公教待遇調整法制化後，將設立「軍公教員工待遇諮詢委員會」，並預計基層代表比例將達</w:t>
      </w:r>
      <w:r w:rsidRPr="005A1BD6">
        <w:rPr>
          <w:rFonts w:hint="eastAsia"/>
        </w:rPr>
        <w:t>二</w:t>
      </w:r>
      <w:r w:rsidRPr="005A1BD6">
        <w:t>成。然時至今日，相關法制化進程與委員會重組規劃仍未見明確進度。</w:t>
      </w:r>
    </w:p>
    <w:p w14:paraId="2D1DF36D" w14:textId="77777777" w:rsidR="00BF432F" w:rsidRPr="005A1BD6" w:rsidRDefault="00BF432F" w:rsidP="000054AC">
      <w:pPr>
        <w:pStyle w:val="10"/>
      </w:pPr>
      <w:r w:rsidRPr="005A1BD6">
        <w:t>行政機關不應以公法職務關係為由，維持高權單方面決定待遇之現狀，特別在「特別權力關係」理論已被摒棄的今日，待遇決定機制應朝向公開對話與實質審議轉型。</w:t>
      </w:r>
    </w:p>
    <w:p w14:paraId="711075FC" w14:textId="77777777" w:rsidR="00BF432F" w:rsidRPr="005A1BD6" w:rsidRDefault="00BF432F" w:rsidP="000054AC">
      <w:pPr>
        <w:pStyle w:val="10"/>
      </w:pPr>
      <w:r w:rsidRPr="005A1BD6">
        <w:t>軍公教員工待遇攸關勞動尊嚴與工作權益，相關調整應納入基層團體代表，方能確保資訊透明並化解基層疑義。為避免待遇調整淪為黑箱作業，人事行政總處應落實先前承諾，建立常態性之基層參與管道。</w:t>
      </w:r>
    </w:p>
    <w:p w14:paraId="1F8B3923" w14:textId="77777777" w:rsidR="00BF432F" w:rsidRPr="005A1BD6" w:rsidRDefault="00BF432F" w:rsidP="000054AC">
      <w:pPr>
        <w:pStyle w:val="10"/>
      </w:pPr>
      <w:r w:rsidRPr="005A1BD6">
        <w:t>爰建請行政院人事行政總處儘速提出軍公教待遇調整法制</w:t>
      </w:r>
      <w:r w:rsidRPr="005A1BD6">
        <w:lastRenderedPageBreak/>
        <w:t>化之修正草案，並就軍公教待遇審議機制之改革進度、基層代表納入方式及法制化具體時程，於</w:t>
      </w:r>
      <w:r w:rsidRPr="005A1BD6">
        <w:rPr>
          <w:rFonts w:hint="eastAsia"/>
        </w:rPr>
        <w:t>3</w:t>
      </w:r>
      <w:r w:rsidRPr="005A1BD6">
        <w:t>個月內向立法院司法及法制委員會提出書面報告。【27】</w:t>
      </w:r>
    </w:p>
    <w:p w14:paraId="3B1BBF78" w14:textId="77777777" w:rsidR="00BF432F" w:rsidRPr="005A1BD6" w:rsidRDefault="00BF432F" w:rsidP="000054AC">
      <w:pPr>
        <w:pStyle w:val="21"/>
      </w:pPr>
      <w:r w:rsidRPr="005A1BD6">
        <w:t>提案人：莊瑞雄</w:t>
      </w:r>
    </w:p>
    <w:p w14:paraId="328D2A92" w14:textId="77777777" w:rsidR="00BF432F" w:rsidRPr="005A1BD6" w:rsidRDefault="00BF432F" w:rsidP="000054AC">
      <w:pPr>
        <w:pStyle w:val="21"/>
      </w:pPr>
      <w:r w:rsidRPr="005A1BD6">
        <w:t>連署人：沈發惠　張雅琳</w:t>
      </w:r>
    </w:p>
    <w:p w14:paraId="6CA703EB" w14:textId="77777777" w:rsidR="00BF432F" w:rsidRPr="005A1BD6" w:rsidRDefault="00BF432F" w:rsidP="000054AC">
      <w:pPr>
        <w:pStyle w:val="1"/>
      </w:pPr>
      <w:r w:rsidRPr="005A1BD6">
        <w:rPr>
          <w:rFonts w:hint="eastAsia"/>
        </w:rPr>
        <w:t>鑑</w:t>
      </w:r>
      <w:r w:rsidRPr="005A1BD6">
        <w:t>於政府「健康台灣」之國政願景，業已推動公務人員心理調適假，彰顯對公部門從業人員身心健康之重視。然查，現行依據《公務人員一般健康檢查實施要點》所訂定之健檢補助級距存在顯著落差，高階首長每年最高得補助新臺幣1萬6千元，而一般年滿40歲人員僅每</w:t>
      </w:r>
      <w:r w:rsidRPr="005A1BD6">
        <w:rPr>
          <w:rFonts w:hint="eastAsia"/>
        </w:rPr>
        <w:t>二</w:t>
      </w:r>
      <w:r w:rsidRPr="005A1BD6">
        <w:t>年補助4,500元；未滿40歲且從事具安全及衛生顧慮工作者，僅每三年補助3,500元，其餘未滿40歲之基層人員則毫無補助。此等依年齡與職階劃分之機制，不僅未能合理反映警消、夜班及基層外勤人員高強度與高風險之工作特性，亦將承擔繁重業務之年輕基層公務人員排除於防護網外，顯有悖於預防醫學理念與職場健康平權精神。</w:t>
      </w:r>
    </w:p>
    <w:p w14:paraId="5E4E4941" w14:textId="77777777" w:rsidR="00BF432F" w:rsidRPr="005A1BD6" w:rsidRDefault="00BF432F" w:rsidP="000054AC">
      <w:pPr>
        <w:pStyle w:val="10"/>
      </w:pPr>
      <w:r w:rsidRPr="005A1BD6">
        <w:t>復查，</w:t>
      </w:r>
      <w:r w:rsidRPr="005A1BD6">
        <w:rPr>
          <w:rFonts w:hint="eastAsia"/>
        </w:rPr>
        <w:t>行政院</w:t>
      </w:r>
      <w:r w:rsidRPr="005A1BD6">
        <w:t>人事行政總處為彌補現有制度之不足所推出之「健康99─全國公教健檢方案」，雖已115至117年之新期程，並明訂醫療機構應提供4,500元之多項檢查方案。然該方案本質上仍屬「自費選擇參考」，未能實質解決年輕基層公務人員「無補助」或高風險職務者「補助間隔過長（三年一檢）」之核心痛點。參酌日本等先進國家對國家公務員多訂有每年至少一次、特定職務每半年一次之定期健檢規範，人事行政總處作為行政院人事政策與福利資源配置之主管機關，允應肩負起實質照護基層生理健康及院際政策協調之責。</w:t>
      </w:r>
    </w:p>
    <w:p w14:paraId="7C5D1841" w14:textId="77777777" w:rsidR="00BF432F" w:rsidRPr="005A1BD6" w:rsidRDefault="00BF432F" w:rsidP="000054AC">
      <w:pPr>
        <w:pStyle w:val="10"/>
      </w:pPr>
      <w:r w:rsidRPr="005A1BD6">
        <w:t>爰此，人事行政總處除賡續辦理「健康99」特約方案外，應主動會商考試院針對《公務人員一般健康檢查實施要點》啟動通盤檢討，研議縮短高風險職務與基層人員之健檢間隔、縮小職階間之補助差距，並實質擴大未滿40歲公務人員之健檢「經費補助」涵蓋範圍，以健全公務人員整體防護網。</w:t>
      </w:r>
    </w:p>
    <w:p w14:paraId="1A78670F" w14:textId="77777777" w:rsidR="00BF432F" w:rsidRPr="005A1BD6" w:rsidRDefault="00BF432F" w:rsidP="008967C2">
      <w:pPr>
        <w:pStyle w:val="10"/>
      </w:pPr>
      <w:r w:rsidRPr="005A1BD6">
        <w:rPr>
          <w:rFonts w:hint="eastAsia"/>
        </w:rPr>
        <w:t>綜上所述，建請行政院</w:t>
      </w:r>
      <w:r w:rsidRPr="005A1BD6">
        <w:t>人事行政總處</w:t>
      </w:r>
      <w:r w:rsidRPr="005A1BD6">
        <w:rPr>
          <w:rFonts w:hint="eastAsia"/>
        </w:rPr>
        <w:t>於3個月內提送書面報告予立法院</w:t>
      </w:r>
      <w:r w:rsidRPr="005A1BD6">
        <w:t>司法及法制委員會【28】</w:t>
      </w:r>
    </w:p>
    <w:p w14:paraId="18165E3A" w14:textId="77777777" w:rsidR="00BF432F" w:rsidRPr="005A1BD6" w:rsidRDefault="00BF432F" w:rsidP="000054AC">
      <w:pPr>
        <w:pStyle w:val="21"/>
      </w:pPr>
      <w:r w:rsidRPr="005A1BD6">
        <w:t>提案人：莊瑞雄</w:t>
      </w:r>
    </w:p>
    <w:p w14:paraId="2D299E41" w14:textId="77777777" w:rsidR="00BF432F" w:rsidRPr="005A1BD6" w:rsidRDefault="00BF432F" w:rsidP="000054AC">
      <w:pPr>
        <w:pStyle w:val="21"/>
      </w:pPr>
      <w:r w:rsidRPr="005A1BD6">
        <w:t>連署人：沈發惠　張雅琳</w:t>
      </w:r>
    </w:p>
    <w:p w14:paraId="30A8EC85" w14:textId="77777777" w:rsidR="00BF432F" w:rsidRPr="005A1BD6" w:rsidRDefault="00BF432F" w:rsidP="000054AC">
      <w:pPr>
        <w:pStyle w:val="1"/>
      </w:pPr>
      <w:r w:rsidRPr="005A1BD6">
        <w:rPr>
          <w:rFonts w:hint="eastAsia"/>
        </w:rPr>
        <w:t>鑑</w:t>
      </w:r>
      <w:r w:rsidRPr="005A1BD6">
        <w:t>於行政院以過去四年已三度調薪（累計幅度達11.4%）為由，核定115年度軍公教員工待遇不予調整。然查，近年國內消費者物價指數（CPI）持續攀升，基層公務人員普遍反映現行薪資調整幅度，實難追及總體經濟成長率（GDP）及國民薪資中</w:t>
      </w:r>
      <w:r w:rsidRPr="005A1BD6">
        <w:lastRenderedPageBreak/>
        <w:t>位數之增幅，致使公務人員之實質購買力呈現下滑窘境，長此以往恐有損基層士氣及政府攬才留才之競爭力。</w:t>
      </w:r>
    </w:p>
    <w:p w14:paraId="5B867A0A" w14:textId="77777777" w:rsidR="00BF432F" w:rsidRPr="005A1BD6" w:rsidRDefault="00BF432F" w:rsidP="000054AC">
      <w:pPr>
        <w:pStyle w:val="10"/>
      </w:pPr>
      <w:r w:rsidRPr="005A1BD6">
        <w:t>為真實反映國家總體經濟表現並保障公務人員合理待遇，</w:t>
      </w:r>
      <w:r w:rsidRPr="005A1BD6">
        <w:rPr>
          <w:rFonts w:hint="eastAsia"/>
        </w:rPr>
        <w:t>行政院</w:t>
      </w:r>
      <w:r w:rsidRPr="005A1BD6">
        <w:t>人事行政總處允應就116年度軍公教員工待遇調整機制及早啟動通盤評估。爰此，人事行政總處應具體說明116年度軍公教員工待遇審議委員會之預計啟動期程，並檢討現行調薪審議機制，研議將「實質購買力補償」、「經濟成長果實共享」及「民間薪資中位數基準」等實質經濟指標，具體納入常態性評估標準之可行性，以建構更為公平、透明之薪資調整制度。</w:t>
      </w:r>
    </w:p>
    <w:p w14:paraId="5104B5A9" w14:textId="77777777" w:rsidR="00BF432F" w:rsidRPr="005A1BD6" w:rsidRDefault="00BF432F" w:rsidP="000054AC">
      <w:pPr>
        <w:pStyle w:val="10"/>
      </w:pPr>
      <w:r w:rsidRPr="005A1BD6">
        <w:t>綜上所述，建請行政院人事行政總處於</w:t>
      </w:r>
      <w:r w:rsidRPr="005A1BD6">
        <w:rPr>
          <w:rFonts w:hint="eastAsia"/>
        </w:rPr>
        <w:t>3</w:t>
      </w:r>
      <w:r w:rsidRPr="005A1BD6">
        <w:t>個月內提送書面報告予</w:t>
      </w:r>
      <w:r w:rsidRPr="005A1BD6">
        <w:rPr>
          <w:rFonts w:hint="eastAsia"/>
        </w:rPr>
        <w:t>立法院</w:t>
      </w:r>
      <w:r w:rsidRPr="005A1BD6">
        <w:t>司法及法制委員會。【29】</w:t>
      </w:r>
    </w:p>
    <w:p w14:paraId="3CBA010B" w14:textId="77777777" w:rsidR="00BF432F" w:rsidRPr="005A1BD6" w:rsidRDefault="00BF432F" w:rsidP="000054AC">
      <w:pPr>
        <w:pStyle w:val="21"/>
      </w:pPr>
      <w:r w:rsidRPr="005A1BD6">
        <w:t>提案人：莊瑞雄</w:t>
      </w:r>
    </w:p>
    <w:p w14:paraId="46C6C502" w14:textId="77777777" w:rsidR="00BF432F" w:rsidRPr="005A1BD6" w:rsidRDefault="00BF432F" w:rsidP="000054AC">
      <w:pPr>
        <w:pStyle w:val="21"/>
      </w:pPr>
      <w:r w:rsidRPr="005A1BD6">
        <w:t>連署人：沈發惠　張雅琳</w:t>
      </w:r>
    </w:p>
    <w:p w14:paraId="5280B88A" w14:textId="4A4B7311" w:rsidR="00BF432F" w:rsidRPr="005A1BD6" w:rsidRDefault="00BF432F" w:rsidP="000054AC">
      <w:pPr>
        <w:pStyle w:val="1"/>
      </w:pPr>
      <w:r w:rsidRPr="005A1BD6">
        <w:rPr>
          <w:rFonts w:hint="eastAsia"/>
        </w:rPr>
        <w:t>鑑</w:t>
      </w:r>
      <w:r w:rsidRPr="005A1BD6">
        <w:t>於公務機關業務繁重，基層人員迭生過勞及身心壓力等情事，建構友善且具支持性之職場環境實屬政府首要之務。查</w:t>
      </w:r>
      <w:r w:rsidRPr="005A1BD6">
        <w:rPr>
          <w:rFonts w:hint="eastAsia"/>
        </w:rPr>
        <w:t>行政院</w:t>
      </w:r>
      <w:r w:rsidRPr="005A1BD6">
        <w:t>人事行政總處自105年起停辦中央機關員工運動會，改以宣導鼓勵同仁參與運動賽事替代，惟政策推動迄今屆滿</w:t>
      </w:r>
      <w:r w:rsidR="00F64ECF">
        <w:rPr>
          <w:rFonts w:hint="eastAsia"/>
        </w:rPr>
        <w:t>10</w:t>
      </w:r>
      <w:r w:rsidRPr="005A1BD6">
        <w:t>年，多流於形式宣導而</w:t>
      </w:r>
      <w:r w:rsidRPr="005A1BD6">
        <w:rPr>
          <w:rFonts w:hint="eastAsia"/>
        </w:rPr>
        <w:t>缺</w:t>
      </w:r>
      <w:r w:rsidRPr="005A1BD6">
        <w:t>乏實質資源挹注與誘因，致公務人員運動風氣之提升難見實效。</w:t>
      </w:r>
    </w:p>
    <w:p w14:paraId="2F3465AB" w14:textId="77777777" w:rsidR="00BF432F" w:rsidRPr="005A1BD6" w:rsidRDefault="00BF432F" w:rsidP="000054AC">
      <w:pPr>
        <w:pStyle w:val="10"/>
      </w:pPr>
      <w:r w:rsidRPr="005A1BD6">
        <w:t>配合國家成立「運動部」提倡全民運動之政策願景，為實質降低公務人員參與運動之門檻與成本，人事行政總處允應善用既有福利制度，賡續檢討「國民旅遊卡」之適用範疇。現行國旅卡雖已逐步放寬特約消費限制，然就促進身心健康之「運動領域」仍具擴充空間。爰此，人事行政總處應盤點105年迄今推動鼓勵公務人員參與運動活動之具體成效，研擬提供實質資源與誘因之精進作為；同時，積極評估將各地國民運動中心、民營健身房等場館設施納入特約機構，並研議將民間體育賽事（如馬拉松、自行車賽等）之報名費納入核銷範圍之可行配套。</w:t>
      </w:r>
    </w:p>
    <w:p w14:paraId="082D1B4E" w14:textId="77777777" w:rsidR="00BF432F" w:rsidRDefault="00BF432F" w:rsidP="000054AC">
      <w:pPr>
        <w:pStyle w:val="10"/>
      </w:pPr>
      <w:r w:rsidRPr="005A1BD6">
        <w:t>綜上所述，建請行政院人事行政總處於</w:t>
      </w:r>
      <w:r w:rsidRPr="005A1BD6">
        <w:rPr>
          <w:rFonts w:hint="eastAsia"/>
        </w:rPr>
        <w:t>3</w:t>
      </w:r>
      <w:r w:rsidRPr="005A1BD6">
        <w:t>個月內提送書面報告予</w:t>
      </w:r>
      <w:r w:rsidRPr="005A1BD6">
        <w:rPr>
          <w:rFonts w:hint="eastAsia"/>
        </w:rPr>
        <w:t>立法院</w:t>
      </w:r>
      <w:r w:rsidRPr="005A1BD6">
        <w:t>司法</w:t>
      </w:r>
      <w:r w:rsidRPr="000D2ED6">
        <w:t>及法制委員會。【30】</w:t>
      </w:r>
    </w:p>
    <w:p w14:paraId="457D2C11" w14:textId="77777777" w:rsidR="00BF432F" w:rsidRDefault="00BF432F" w:rsidP="000054AC">
      <w:pPr>
        <w:pStyle w:val="21"/>
      </w:pPr>
      <w:r>
        <w:t>提案人：莊瑞雄</w:t>
      </w:r>
    </w:p>
    <w:p w14:paraId="6E1072DF" w14:textId="77777777" w:rsidR="00BF432F" w:rsidRDefault="00BF432F" w:rsidP="000054AC">
      <w:pPr>
        <w:pStyle w:val="21"/>
      </w:pPr>
      <w:r>
        <w:t>連署人：張雅琳　范　雲</w:t>
      </w:r>
    </w:p>
    <w:p w14:paraId="0813C808" w14:textId="0CDEC365" w:rsidR="00BF432F" w:rsidRDefault="00BF432F" w:rsidP="000054AC">
      <w:pPr>
        <w:pStyle w:val="1"/>
      </w:pPr>
      <w:r w:rsidRPr="000D2ED6">
        <w:t>查審計部報告，截至113年底止，各機關為因應資通安全管理法所定資安人力需求，仍有相當比例未依專業職系配置</w:t>
      </w:r>
      <w:r w:rsidR="001F6B0D">
        <w:rPr>
          <w:rFonts w:hint="eastAsia"/>
        </w:rPr>
        <w:t>；</w:t>
      </w:r>
      <w:r w:rsidRPr="000D2ED6">
        <w:t>其中有106個機關由統計、綜合行政等非資訊處理職系人員擔任資安專責人員，共計112人；另有78個機關以約聘僱、委外或約用人員擔任，共計86人；亦有32個機關由上級機關派駐資</w:t>
      </w:r>
      <w:r w:rsidRPr="000D2ED6">
        <w:lastRenderedPageBreak/>
        <w:t>訊人員兼辦，共計37人。顯示目前各機關資安業務，仍普遍存在由非資訊專業人員兼辦，或以非正式人力支應之情形。</w:t>
      </w:r>
    </w:p>
    <w:p w14:paraId="79ED877C" w14:textId="77777777" w:rsidR="00BF432F" w:rsidRDefault="00BF432F" w:rsidP="000054AC">
      <w:pPr>
        <w:pStyle w:val="10"/>
      </w:pPr>
      <w:r w:rsidRPr="000D2ED6">
        <w:t>上開現象，除與《資通安全責任等級分級辦法》所定資安業務應由專責人員全職辦理之規範未盡相符外，亦可能影響資安專業能力之穩定性與持續性。又以委外或約用人力辦理資安業務，因機關對其指揮監督權限相對有限，實務上恐生管理落差；倘其業務內容已涉及資安維護計畫之訂定、執行、檢討，及對委外廠商之管理與稽核等事項，亦有涉公權力行使範圍之疑義，允宜審慎檢討其適法性與制度設計。</w:t>
      </w:r>
    </w:p>
    <w:p w14:paraId="2873A32C" w14:textId="77777777" w:rsidR="00BF432F" w:rsidRDefault="00BF432F" w:rsidP="000054AC">
      <w:pPr>
        <w:pStyle w:val="10"/>
      </w:pPr>
      <w:r w:rsidRPr="005A1BD6">
        <w:t>爰請行政院人事行政總處會同主管機關</w:t>
      </w:r>
      <w:r w:rsidRPr="005A1BD6">
        <w:rPr>
          <w:rFonts w:hint="eastAsia"/>
        </w:rPr>
        <w:t>數位發展部</w:t>
      </w:r>
      <w:r w:rsidRPr="005A1BD6">
        <w:t>，就</w:t>
      </w:r>
      <w:r w:rsidRPr="005A1BD6">
        <w:rPr>
          <w:rFonts w:hint="eastAsia"/>
        </w:rPr>
        <w:t>中央</w:t>
      </w:r>
      <w:r w:rsidRPr="005A1BD6">
        <w:t>各機關資安人力配置現況進行全面盤點，</w:t>
      </w:r>
      <w:r w:rsidRPr="005A1BD6">
        <w:rPr>
          <w:rFonts w:hint="eastAsia"/>
        </w:rPr>
        <w:t>持續規劃攬才措施</w:t>
      </w:r>
      <w:r w:rsidRPr="005A1BD6">
        <w:t>，落實資安專才專用原則，並就專責人力配置及相關配套措施，於3個月內向立法</w:t>
      </w:r>
      <w:r w:rsidRPr="000D2ED6">
        <w:t>院司法及法制委員會提出書面報告。【31】</w:t>
      </w:r>
    </w:p>
    <w:p w14:paraId="7747A406" w14:textId="77777777" w:rsidR="00BF432F" w:rsidRDefault="00BF432F" w:rsidP="000054AC">
      <w:pPr>
        <w:pStyle w:val="21"/>
      </w:pPr>
      <w:r>
        <w:t>提案人：沈發惠</w:t>
      </w:r>
    </w:p>
    <w:p w14:paraId="126C809B" w14:textId="77777777" w:rsidR="00BF432F" w:rsidRDefault="00BF432F" w:rsidP="000054AC">
      <w:pPr>
        <w:pStyle w:val="21"/>
      </w:pPr>
      <w:r>
        <w:t>連署人：范　雲　莊瑞雄</w:t>
      </w:r>
    </w:p>
    <w:p w14:paraId="678E68B0" w14:textId="77777777" w:rsidR="00BF432F" w:rsidRDefault="00BF432F" w:rsidP="000054AC">
      <w:pPr>
        <w:pStyle w:val="1"/>
      </w:pPr>
      <w:r w:rsidRPr="000D2ED6">
        <w:t>查行政院人事行政總處，為建立友善職場及敦促各機關重視職場霸凌問題，避免公務人員於執行職務時遭受身體或精神不法侵害，訂定「員工職場霸凌處理標準作業流程（範例）」並建置職場霸凌案件通報平臺。審計部報告顯示，111至113年度（截至11月底止）各機關職場霸凌申訴案件各為150件、341件及472件，呈逐年攀升趨勢，並將通報案件轉交權責機關處理，並追蹤列管結案情形，惟尚未將相關資訊予以統計分類，進行態樣分析應用；鑑於職場霸凌申訴之處理調查，涉及心理衛生或法律領域等專業判斷，為利案件調查及後續防治追蹤。</w:t>
      </w:r>
    </w:p>
    <w:p w14:paraId="5D53127C" w14:textId="77777777" w:rsidR="00BF432F" w:rsidRDefault="00BF432F" w:rsidP="000054AC">
      <w:pPr>
        <w:pStyle w:val="10"/>
      </w:pPr>
      <w:r w:rsidRPr="000D2ED6">
        <w:t>爰請行政院人事行政總處，就職場霸凌案件通報平臺之相關數據，定期辦理資料分類與態樣分析，進而滾動檢討並持續策進公部門之友善職場環境與霸凌防治作為，於3個月內向立法院司法及法制委員會提出書面報告。【32】</w:t>
      </w:r>
    </w:p>
    <w:p w14:paraId="56F90420" w14:textId="77777777" w:rsidR="00BF432F" w:rsidRDefault="00BF432F" w:rsidP="000054AC">
      <w:pPr>
        <w:pStyle w:val="21"/>
      </w:pPr>
      <w:r>
        <w:t>提案人：沈發惠</w:t>
      </w:r>
    </w:p>
    <w:p w14:paraId="2A201ABD" w14:textId="77777777" w:rsidR="00BF432F" w:rsidRDefault="00BF432F" w:rsidP="000054AC">
      <w:pPr>
        <w:pStyle w:val="21"/>
      </w:pPr>
      <w:r>
        <w:t>連署人：范　雲　莊瑞雄</w:t>
      </w:r>
    </w:p>
    <w:p w14:paraId="2CAE99B5" w14:textId="77777777" w:rsidR="00BF432F" w:rsidRDefault="00BF432F" w:rsidP="0035245C">
      <w:pPr>
        <w:pStyle w:val="1"/>
      </w:pPr>
      <w:r w:rsidRPr="000D2ED6">
        <w:t>各機關國會聯絡人為行政機關與立法院之間重要溝通窗口，平時需協助處理立法委員問政資料、預算與法案審查、民眾陳情案件、臨時協調事項及跨機關聯繫作業，業務內容繁重且時效壓力高，並經常需配合立法院議事運作及臨時需求，即時完成資料彙整、政策說明及溝通協調工作。</w:t>
      </w:r>
    </w:p>
    <w:p w14:paraId="414B6E73" w14:textId="77777777" w:rsidR="00BF432F" w:rsidRDefault="00BF432F" w:rsidP="0035245C">
      <w:pPr>
        <w:pStyle w:val="10"/>
      </w:pPr>
      <w:r w:rsidRPr="000D2ED6">
        <w:t>惟現行公務人員待遇及支持制度中，尚未針對國會聯絡業務設置專屬加給、工作補償或其他激勵措施，導致承辦相關業</w:t>
      </w:r>
      <w:r w:rsidRPr="000D2ED6">
        <w:lastRenderedPageBreak/>
        <w:t>務之人員長期承擔高度聯繫、協調與即時回應責任，卻未有相應之制度性支持。</w:t>
      </w:r>
    </w:p>
    <w:p w14:paraId="05D90660" w14:textId="06D2F93F" w:rsidR="00BF432F" w:rsidRDefault="00BF432F" w:rsidP="0035245C">
      <w:pPr>
        <w:pStyle w:val="10"/>
      </w:pPr>
      <w:r w:rsidRPr="000D2ED6">
        <w:t>爰建請行政院人事行政總處，通盤檢討國會聯絡人員之業務負擔、加班補休、人力配置及職涯發展情形，研議建立合理之支持與福利調整機制，包括國會聯絡業務加給或專案津貼、加班及補休保障、彈性工時安排、代理及輪調制度、專業訓練、心理支持與考績升遷評價機制，以合理反映國會聯絡人員所承擔之工作責任，健全行政機關與立法院間之溝通協調制度。請行政院人事行政總處</w:t>
      </w:r>
      <w:r w:rsidR="007839EC" w:rsidRPr="000D2ED6">
        <w:t>針對上述</w:t>
      </w:r>
      <w:r w:rsidRPr="000D2ED6">
        <w:t>於3個月內</w:t>
      </w:r>
      <w:r w:rsidR="007839EC" w:rsidRPr="000D2ED6">
        <w:t>向立法院司法及法制委員會</w:t>
      </w:r>
      <w:r w:rsidR="007839EC">
        <w:t>提出可行性研議評估</w:t>
      </w:r>
      <w:r w:rsidRPr="000D2ED6">
        <w:t>書面報告。【33】</w:t>
      </w:r>
    </w:p>
    <w:p w14:paraId="71D6471F" w14:textId="77777777" w:rsidR="00BF432F" w:rsidRDefault="00BF432F" w:rsidP="0035245C">
      <w:pPr>
        <w:pStyle w:val="21"/>
      </w:pPr>
      <w:r>
        <w:t>提案人：張雅琳</w:t>
      </w:r>
    </w:p>
    <w:p w14:paraId="44735D95" w14:textId="77777777" w:rsidR="00BF432F" w:rsidRDefault="00BF432F" w:rsidP="0035245C">
      <w:pPr>
        <w:pStyle w:val="21"/>
      </w:pPr>
      <w:r>
        <w:t>連署人：莊瑞雄　沈發惠</w:t>
      </w:r>
    </w:p>
    <w:p w14:paraId="18D9F792" w14:textId="77777777" w:rsidR="00BF432F" w:rsidRPr="005A1BD6" w:rsidRDefault="00BF432F" w:rsidP="0035245C">
      <w:pPr>
        <w:pStyle w:val="1"/>
      </w:pPr>
      <w:r w:rsidRPr="005A1BD6">
        <w:t>根據《天下雜誌》於</w:t>
      </w:r>
      <w:r w:rsidRPr="005A1BD6">
        <w:rPr>
          <w:rFonts w:hint="eastAsia"/>
        </w:rPr>
        <w:t>115</w:t>
      </w:r>
      <w:r w:rsidRPr="005A1BD6">
        <w:t>年3月之報導，我國人事費占GDP比例約為5.9%，相較於</w:t>
      </w:r>
      <w:r w:rsidRPr="005A1BD6">
        <w:rPr>
          <w:rFonts w:hint="eastAsia"/>
        </w:rPr>
        <w:t>其</w:t>
      </w:r>
      <w:r w:rsidRPr="005A1BD6">
        <w:t>他OECD國家偏低，顯示我國公共服務量能可能已處於相對緊繃狀態。</w:t>
      </w:r>
    </w:p>
    <w:p w14:paraId="7CFB58BA" w14:textId="77777777" w:rsidR="00BF432F" w:rsidRPr="005A1BD6" w:rsidRDefault="00BF432F" w:rsidP="0035245C">
      <w:pPr>
        <w:pStyle w:val="10"/>
      </w:pPr>
      <w:r w:rsidRPr="005A1BD6">
        <w:t>另依113年度審計部總決算審核報告表示，中央政府之第一類員額已達法定員額95%以上，接近法定上限；此外中央政府另聘有約10萬2,000名多元人力，顯示在正式員額難以增加之情況下，政府實際運作已高度仰賴多元人力支撐。</w:t>
      </w:r>
    </w:p>
    <w:p w14:paraId="5187DCB8" w14:textId="77777777" w:rsidR="00BF432F" w:rsidRPr="005A1BD6" w:rsidRDefault="00BF432F" w:rsidP="0035245C">
      <w:pPr>
        <w:pStyle w:val="10"/>
      </w:pPr>
      <w:r w:rsidRPr="005A1BD6">
        <w:t>《中央政府機關總員額法》於99年制定時，中央政府總預算規模約為1.7兆元，108年修法時約為1.9兆元，惟目前中央政府總預算規模已達約3兆元。近年政府亦新增社會安全網、長照政策、青年百億圓夢基金等多項法定業務，整體業務量明顯增加，顯示總員額制度並未隨預算規模及業務需求同步檢討。</w:t>
      </w:r>
    </w:p>
    <w:p w14:paraId="642B5024" w14:textId="77777777" w:rsidR="00BF432F" w:rsidRPr="005A1BD6" w:rsidRDefault="00BF432F" w:rsidP="0035245C">
      <w:pPr>
        <w:pStyle w:val="10"/>
      </w:pPr>
      <w:r w:rsidRPr="005A1BD6">
        <w:t>另參考國際經驗，挪威整體預算規模與我國相近，全國公務人員人數約為90萬人，其公共治理特色在於政府信任度、行政服務滿意度及數位政府表現均優於OECD平均，顯示較完整之公共服務體系與穩定人力配置，有助於支撐政府治理效能；澳洲、羅馬尼亞等與我國人口規模相近之國家，若採較廣義之公部門定義，包含教師、醫療人員等，其公部門人力規模分別約為130萬人及260萬人，其中澳洲近年重視數位優先、跨機關服務整合及以使用者為中心之行政服務設計，羅馬尼亞則在公共行政改革過程中，推動公部門數位化、廉政透明及人力制度調整。雖各國行政體制、公部門範圍及統計定義未盡相同，仍可作為我國檢討政府員額配置、人力運用、數位治理及人事支出結構之重要參考。</w:t>
      </w:r>
    </w:p>
    <w:p w14:paraId="6CAE51FD" w14:textId="77777777" w:rsidR="00BF432F" w:rsidRPr="005A1BD6" w:rsidRDefault="00BF432F" w:rsidP="0035245C">
      <w:pPr>
        <w:pStyle w:val="10"/>
      </w:pPr>
      <w:r w:rsidRPr="005A1BD6">
        <w:lastRenderedPageBreak/>
        <w:t>爰建請行政院人事行政總處於</w:t>
      </w:r>
      <w:r w:rsidRPr="005A1BD6">
        <w:rPr>
          <w:rFonts w:hint="eastAsia"/>
        </w:rPr>
        <w:t>5</w:t>
      </w:r>
      <w:r w:rsidRPr="005A1BD6">
        <w:t>個月內，針對與我國人口規模或中央政府總預算規模相近國家之公務人員數量、人事支出比例、員額配置及相關制度進行比較研究，並就我國現行總員額制度、多元人力運用情形及未來修法或制度調整方向提出檢討建議，向立法院司法及法制委員會提出書面報告。【34】</w:t>
      </w:r>
    </w:p>
    <w:p w14:paraId="768C39BD" w14:textId="77777777" w:rsidR="00BF432F" w:rsidRPr="005A1BD6" w:rsidRDefault="00BF432F" w:rsidP="0035245C">
      <w:pPr>
        <w:pStyle w:val="21"/>
      </w:pPr>
      <w:r w:rsidRPr="005A1BD6">
        <w:t>提案人：張雅琳</w:t>
      </w:r>
    </w:p>
    <w:p w14:paraId="7C8FF7F9" w14:textId="77777777" w:rsidR="00BF432F" w:rsidRPr="005A1BD6" w:rsidRDefault="00BF432F" w:rsidP="0035245C">
      <w:pPr>
        <w:pStyle w:val="21"/>
      </w:pPr>
      <w:r w:rsidRPr="005A1BD6">
        <w:t>連署人：莊瑞雄　沈發惠</w:t>
      </w:r>
    </w:p>
    <w:p w14:paraId="3A291673" w14:textId="77777777" w:rsidR="00BF432F" w:rsidRPr="005A1BD6" w:rsidRDefault="00BF432F" w:rsidP="0035245C">
      <w:pPr>
        <w:pStyle w:val="1"/>
      </w:pPr>
      <w:r w:rsidRPr="005A1BD6">
        <w:t>依《各機關加班費支給辦法》第</w:t>
      </w:r>
      <w:r w:rsidRPr="005A1BD6">
        <w:rPr>
          <w:rFonts w:hint="eastAsia"/>
        </w:rPr>
        <w:t>5</w:t>
      </w:r>
      <w:r w:rsidRPr="005A1BD6">
        <w:t>條規定，各機關支給每人加班費時數上限，辦公日不得超過</w:t>
      </w:r>
      <w:r w:rsidRPr="005A1BD6">
        <w:rPr>
          <w:rFonts w:hint="eastAsia"/>
        </w:rPr>
        <w:t>4</w:t>
      </w:r>
      <w:r w:rsidRPr="005A1BD6">
        <w:t>小時，放假日及例假日不得超過</w:t>
      </w:r>
      <w:r w:rsidRPr="005A1BD6">
        <w:rPr>
          <w:rFonts w:hint="eastAsia"/>
        </w:rPr>
        <w:t>8</w:t>
      </w:r>
      <w:r w:rsidRPr="005A1BD6">
        <w:t>小時，每月不得超過</w:t>
      </w:r>
      <w:r w:rsidRPr="005A1BD6">
        <w:rPr>
          <w:rFonts w:hint="eastAsia"/>
        </w:rPr>
        <w:t>20</w:t>
      </w:r>
      <w:r w:rsidRPr="005A1BD6">
        <w:t>小時；但因業務需要，得報主管機關或其授權機關核准，支給專案加班費。</w:t>
      </w:r>
    </w:p>
    <w:p w14:paraId="554F1184" w14:textId="77777777" w:rsidR="00BF432F" w:rsidRPr="005A1BD6" w:rsidRDefault="00BF432F" w:rsidP="0035245C">
      <w:pPr>
        <w:pStyle w:val="10"/>
      </w:pPr>
      <w:r w:rsidRPr="005A1BD6">
        <w:t>據行政院人事行政總處說明，除法務部外，中央各機關平均加班時數多低於每月</w:t>
      </w:r>
      <w:r w:rsidRPr="005A1BD6">
        <w:rPr>
          <w:rFonts w:hint="eastAsia"/>
        </w:rPr>
        <w:t>20</w:t>
      </w:r>
      <w:r w:rsidRPr="005A1BD6">
        <w:t>小時。惟基層公務人員反映，實務上仍存在加班事實未完整登載、因加班費預算不足而改以補休處理、專案加班申請程序繁瑣或不易核准等情形，導致實際工時與統計數據之間可能存在落差。</w:t>
      </w:r>
    </w:p>
    <w:p w14:paraId="555FE9B1" w14:textId="77777777" w:rsidR="00BF432F" w:rsidRPr="005A1BD6" w:rsidRDefault="00BF432F" w:rsidP="0035245C">
      <w:pPr>
        <w:pStyle w:val="10"/>
      </w:pPr>
      <w:r w:rsidRPr="005A1BD6">
        <w:t>此外，雖得以補休作為加班補償方式，惟基層公務人員多反映因業務量長期繁重、人力不足或職務代理困難，公務人員即使累積補休時數，也未必有時間實際休畢，形成「加班無法覈實支給、補休也無法實際使用」之雙重困境，影響基層公務人員勞動權益與身心負荷。加班制度應以「覈實登載、合理補償、補休可實際使用、制度檢討」為原則。若機關因業務量長期增加而反覆需要加班，應回到員額配置、業務簡化、數位化及人力調整等制度面檢討，而非僅要求基層以自行吸收、累積補休或未登載加班之方式因應。</w:t>
      </w:r>
    </w:p>
    <w:p w14:paraId="5B9504FD" w14:textId="77777777" w:rsidR="00BF432F" w:rsidRPr="005A1BD6" w:rsidRDefault="00BF432F" w:rsidP="0035245C">
      <w:pPr>
        <w:pStyle w:val="10"/>
      </w:pPr>
      <w:r w:rsidRPr="005A1BD6">
        <w:t>爰建請行政院人事行政總處於3個月內，針對中央各機關加班時數登載、加班費支給、專案加班核准、加班費預算編列、補休累積及實際休畢情形進行通盤檢討，並督促各機關覈實登載加班事實，不得以預算不足、行政程序或機關內部慣例，拒絕或影響公務人員依法申請加班費、專案加班及實際使用補休之權益；另應就加班或補休累積情形長期偏高之機關，協助員額配置、業務簡化及加班費制度改革，向立法院司法及法制委員會提出書面報告。【35】</w:t>
      </w:r>
    </w:p>
    <w:p w14:paraId="7EED4801" w14:textId="77777777" w:rsidR="00BF432F" w:rsidRPr="005A1BD6" w:rsidRDefault="00BF432F" w:rsidP="0035245C">
      <w:pPr>
        <w:pStyle w:val="21"/>
      </w:pPr>
      <w:r w:rsidRPr="005A1BD6">
        <w:t>提案人：張雅琳</w:t>
      </w:r>
    </w:p>
    <w:p w14:paraId="6FF0565B" w14:textId="77777777" w:rsidR="00BF432F" w:rsidRPr="005A1BD6" w:rsidRDefault="00BF432F" w:rsidP="0035245C">
      <w:pPr>
        <w:pStyle w:val="21"/>
      </w:pPr>
      <w:r w:rsidRPr="005A1BD6">
        <w:t>連署人：莊瑞雄　沈發惠</w:t>
      </w:r>
    </w:p>
    <w:p w14:paraId="722DD4F8" w14:textId="1CA07894" w:rsidR="00BF432F" w:rsidRPr="005A1BD6" w:rsidRDefault="00BF432F" w:rsidP="0035245C">
      <w:pPr>
        <w:pStyle w:val="1"/>
      </w:pPr>
      <w:r w:rsidRPr="005A1BD6">
        <w:t>行政院人事行政總處115</w:t>
      </w:r>
      <w:r w:rsidR="007839EC" w:rsidRPr="005A1BD6">
        <w:t>年度預算案於「人事行政之政策規劃執行及發展」工作計畫</w:t>
      </w:r>
      <w:r w:rsidR="007839EC" w:rsidRPr="005A1BD6">
        <w:rPr>
          <w:rFonts w:hint="eastAsia"/>
        </w:rPr>
        <w:t>辦理</w:t>
      </w:r>
      <w:r w:rsidRPr="005A1BD6">
        <w:t>「智慧永續人資發展」。依該計</w:t>
      </w:r>
      <w:r w:rsidRPr="005A1BD6">
        <w:lastRenderedPageBreak/>
        <w:t>畫內容，人事總處預計辦理中央機關員額評鑑智慧系統、全國人事資料統計智慧系統、全國差勤資料倉儲、生成式人事業務智慧客服、公務人員事求人系統智慧化助手、主管機關差勤管理智慧系統、智慧公文系統及智慧資訊安全助手等項目，服務對象包含人事總處同仁、各機關人事人員、公務人員及民眾，影響範圍甚廣。</w:t>
      </w:r>
    </w:p>
    <w:p w14:paraId="63502E4B" w14:textId="6EAFD5AC" w:rsidR="00BF432F" w:rsidRPr="005A1BD6" w:rsidRDefault="00BF432F" w:rsidP="0035245C">
      <w:pPr>
        <w:pStyle w:val="10"/>
      </w:pPr>
      <w:r w:rsidRPr="005A1BD6">
        <w:t>惟依據立法院</w:t>
      </w:r>
      <w:r w:rsidR="003A09B9" w:rsidRPr="005A1BD6">
        <w:t>預算</w:t>
      </w:r>
      <w:r w:rsidRPr="005A1BD6">
        <w:t>中心</w:t>
      </w:r>
      <w:r w:rsidR="007839EC" w:rsidRPr="005A1BD6">
        <w:rPr>
          <w:rFonts w:hint="eastAsia"/>
        </w:rPr>
        <w:t>評估</w:t>
      </w:r>
      <w:r w:rsidRPr="005A1BD6">
        <w:t>報告表示，人事總處建有人事雲端資料中心及全國共用人事資訊系統，並保有全國公教人員完整個資，屬政府人事政策制定及業務推動之核心機關。若於全國人事系統導入生成式人工智慧及數據分析模組，涉及大量人事資料、差勤資料、應徵資料及公文資料之蒐集、清理、訓練、分析與應用，更應審慎評估資安風險、個資保護、資料治理及模型使用邊界。</w:t>
      </w:r>
    </w:p>
    <w:p w14:paraId="160CEB5C" w14:textId="77777777" w:rsidR="00BF432F" w:rsidRPr="005A1BD6" w:rsidRDefault="00BF432F" w:rsidP="0035245C">
      <w:pPr>
        <w:pStyle w:val="10"/>
      </w:pPr>
      <w:r w:rsidRPr="005A1BD6">
        <w:t>另108年曾發生包含國</w:t>
      </w:r>
      <w:r w:rsidRPr="005A1BD6">
        <w:rPr>
          <w:rFonts w:hint="eastAsia"/>
        </w:rPr>
        <w:t>家</w:t>
      </w:r>
      <w:r w:rsidRPr="005A1BD6">
        <w:t>安</w:t>
      </w:r>
      <w:r w:rsidRPr="005A1BD6">
        <w:rPr>
          <w:rFonts w:hint="eastAsia"/>
        </w:rPr>
        <w:t>全</w:t>
      </w:r>
      <w:r w:rsidRPr="005A1BD6">
        <w:t>局等機敏機關在內之大量公務人員個資外洩事件，影響重大。雖該案係銓敘部相關疏失所致，惟人事總處同樣掌有全國公教人員個資，應引以為鑑，於推動AI導入時，落實《人工智慧基本法》、《資通安全管理法》及《個人資料保護法》等相關規範，避免AI應用擴大後反而增加個資外洩及資安風險。</w:t>
      </w:r>
    </w:p>
    <w:p w14:paraId="08ADE26C" w14:textId="77777777" w:rsidR="00BF432F" w:rsidRPr="005A1BD6" w:rsidRDefault="00BF432F" w:rsidP="0035245C">
      <w:pPr>
        <w:pStyle w:val="10"/>
      </w:pPr>
      <w:r w:rsidRPr="005A1BD6">
        <w:t>爰建請行政院人事行政總處針對「智慧永續人資發展計畫」導入生成式人工智慧及相關資訊系統之資安防護、個資保護、資料治理、模型訓練資料使用範圍、權限控管、稽核機制及風險應變措施進行通盤研議。並於</w:t>
      </w:r>
      <w:r w:rsidRPr="005A1BD6">
        <w:rPr>
          <w:rFonts w:hint="eastAsia"/>
        </w:rPr>
        <w:t>3</w:t>
      </w:r>
      <w:r w:rsidRPr="005A1BD6">
        <w:t>個月內，將相關執行狀況，向</w:t>
      </w:r>
      <w:r w:rsidRPr="005A1BD6">
        <w:rPr>
          <w:rFonts w:hint="eastAsia"/>
        </w:rPr>
        <w:t>立法院</w:t>
      </w:r>
      <w:r w:rsidRPr="005A1BD6">
        <w:t>司法及法制委員會送交書面報告。【36】</w:t>
      </w:r>
    </w:p>
    <w:p w14:paraId="11D3ECFA" w14:textId="77777777" w:rsidR="00BF432F" w:rsidRPr="005A1BD6" w:rsidRDefault="00BF432F" w:rsidP="0035245C">
      <w:pPr>
        <w:pStyle w:val="21"/>
      </w:pPr>
      <w:r w:rsidRPr="005A1BD6">
        <w:t>提案人：張雅琳</w:t>
      </w:r>
    </w:p>
    <w:p w14:paraId="0A36FEF3" w14:textId="77777777" w:rsidR="00BF432F" w:rsidRPr="005A1BD6" w:rsidRDefault="00BF432F" w:rsidP="0035245C">
      <w:pPr>
        <w:pStyle w:val="21"/>
      </w:pPr>
      <w:r w:rsidRPr="005A1BD6">
        <w:t>連署人：莊瑞雄　沈發惠</w:t>
      </w:r>
    </w:p>
    <w:p w14:paraId="7ADF78BB" w14:textId="4F3166AC" w:rsidR="00BF432F" w:rsidRPr="005A1BD6" w:rsidRDefault="00BF432F" w:rsidP="0035245C">
      <w:pPr>
        <w:pStyle w:val="1"/>
      </w:pPr>
      <w:r w:rsidRPr="005A1BD6">
        <w:t>行政院為吸引資安人員投入重點資安業務機關，核定自112年7月1日起，資安責任等級A級機關或關鍵基礎設施領域協調機關中，已支領資訊專業加給且實際從事資安業務之人員，得按月領取資安增支加給3,000至5,000元。</w:t>
      </w:r>
    </w:p>
    <w:p w14:paraId="6A279092" w14:textId="77777777" w:rsidR="00BF432F" w:rsidRPr="005A1BD6" w:rsidRDefault="00BF432F" w:rsidP="0035245C">
      <w:pPr>
        <w:pStyle w:val="10"/>
      </w:pPr>
      <w:r w:rsidRPr="005A1BD6">
        <w:t>惟經審計部總決算審核報告，符合資安增支加給條件之機關僅25個，占行政院及所屬資安責任等級A至C級機關之比率僅5.29%。多數機關資安專職人員同樣辦理資安業務，卻未能領取資安增支加給，恐不利於各機關資安人才之留任及延攬。</w:t>
      </w:r>
    </w:p>
    <w:p w14:paraId="0AE22DF3" w14:textId="77777777" w:rsidR="00BF432F" w:rsidRPr="005A1BD6" w:rsidRDefault="00BF432F" w:rsidP="0035245C">
      <w:pPr>
        <w:pStyle w:val="10"/>
      </w:pPr>
      <w:r w:rsidRPr="005A1BD6">
        <w:t>另截至113年底，行政院所屬機關仍有122名資安專職人員未取得資安專業證照或職能訓練證書，其中35人未取得資安</w:t>
      </w:r>
      <w:r w:rsidRPr="005A1BD6">
        <w:lastRenderedPageBreak/>
        <w:t>專業證照、41人未取得職能訓練證書，另有46人兩者皆未取得，顯示資安人力培訓及專業支持制度仍有強化必要。</w:t>
      </w:r>
    </w:p>
    <w:p w14:paraId="22096EE3" w14:textId="77777777" w:rsidR="00BF432F" w:rsidRPr="005A1BD6" w:rsidRDefault="00BF432F" w:rsidP="0035245C">
      <w:pPr>
        <w:pStyle w:val="10"/>
      </w:pPr>
      <w:r w:rsidRPr="005A1BD6">
        <w:t>爰請行政院人事行政總處會同數位發展部資通安全署，針對資安責任等級C級以上機關及資安專職人員，研議設置績效評核獎勵機制，並檢討資安增支加給擴大適用範圍及相關配套措施，提出具體改善方案，並於3個月內向立法院司法及法制委員會提出書面報告。【37】</w:t>
      </w:r>
    </w:p>
    <w:p w14:paraId="5EEFC95D" w14:textId="77777777" w:rsidR="00BF432F" w:rsidRPr="005A1BD6" w:rsidRDefault="00BF432F" w:rsidP="0035245C">
      <w:pPr>
        <w:pStyle w:val="21"/>
      </w:pPr>
      <w:r w:rsidRPr="005A1BD6">
        <w:t>提案人：張雅琳</w:t>
      </w:r>
    </w:p>
    <w:p w14:paraId="300CD8E4" w14:textId="77777777" w:rsidR="00BF432F" w:rsidRPr="005A1BD6" w:rsidRDefault="00BF432F" w:rsidP="0035245C">
      <w:pPr>
        <w:pStyle w:val="21"/>
      </w:pPr>
      <w:r w:rsidRPr="005A1BD6">
        <w:t>連署人：莊瑞雄　沈發惠</w:t>
      </w:r>
    </w:p>
    <w:p w14:paraId="77E97013" w14:textId="5C0C78B4" w:rsidR="00BF432F" w:rsidRPr="005A1BD6" w:rsidRDefault="00BF432F" w:rsidP="0035245C">
      <w:pPr>
        <w:pStyle w:val="1"/>
      </w:pPr>
      <w:r w:rsidRPr="005A1BD6">
        <w:t>有關113年度全國公務人員離職人數達3,183人（中央1,593人、地方1,590人），相較109年度的1,703人，增幅高達86.9%。且離職者中以「薦任職等」</w:t>
      </w:r>
      <w:r w:rsidRPr="005A1BD6">
        <w:rPr>
          <w:rFonts w:hint="eastAsia"/>
        </w:rPr>
        <w:t>占</w:t>
      </w:r>
      <w:r w:rsidRPr="005A1BD6">
        <w:t>比最高，高達54.54%。薦任官是政府執行業務的中堅力量，大量流失將嚴重影響政策執行品質與連續性。而30歲以下離職者</w:t>
      </w:r>
      <w:r w:rsidRPr="005A1BD6">
        <w:rPr>
          <w:rFonts w:hint="eastAsia"/>
        </w:rPr>
        <w:t>占</w:t>
      </w:r>
      <w:r w:rsidRPr="005A1BD6">
        <w:t>比逐年攀升（113年</w:t>
      </w:r>
      <w:r w:rsidR="007839EC" w:rsidRPr="005A1BD6">
        <w:rPr>
          <w:rFonts w:hint="eastAsia"/>
        </w:rPr>
        <w:t>度</w:t>
      </w:r>
      <w:r w:rsidRPr="005A1BD6">
        <w:t>達33.43%），且絕大多數為大學以上學歷。這顯示公務體系對優秀年輕人才的吸引力正在急速衰退。</w:t>
      </w:r>
      <w:r w:rsidRPr="005A1BD6">
        <w:rPr>
          <w:rFonts w:hint="eastAsia"/>
        </w:rPr>
        <w:t>行政院</w:t>
      </w:r>
      <w:r w:rsidRPr="005A1BD6">
        <w:t>人事</w:t>
      </w:r>
      <w:r w:rsidRPr="005A1BD6">
        <w:rPr>
          <w:rFonts w:hint="eastAsia"/>
        </w:rPr>
        <w:t>行政</w:t>
      </w:r>
      <w:r w:rsidRPr="005A1BD6">
        <w:t>總處應</w:t>
      </w:r>
      <w:r w:rsidR="003A09B9" w:rsidRPr="005A1BD6">
        <w:rPr>
          <w:rFonts w:hint="eastAsia"/>
        </w:rPr>
        <w:t>研</w:t>
      </w:r>
      <w:r w:rsidRPr="005A1BD6">
        <w:t>謀評估「薪資待遇調整</w:t>
      </w:r>
      <w:r w:rsidR="004C65E6" w:rsidRPr="005A1BD6">
        <w:t>」與「職場環境優化」對減少薦任官及年輕人員離職之實質關聯性，並</w:t>
      </w:r>
      <w:r w:rsidRPr="005A1BD6">
        <w:t>提出改善方案。</w:t>
      </w:r>
    </w:p>
    <w:p w14:paraId="517D9385" w14:textId="1B34420C" w:rsidR="00BF432F" w:rsidRPr="005A1BD6" w:rsidRDefault="00BF432F" w:rsidP="0035245C">
      <w:pPr>
        <w:pStyle w:val="10"/>
      </w:pPr>
      <w:r w:rsidRPr="005A1BD6">
        <w:t>另外，地方政府離職人數與中央政府幾乎旗鼓相當（113年</w:t>
      </w:r>
      <w:r w:rsidR="004C65E6" w:rsidRPr="005A1BD6">
        <w:rPr>
          <w:rFonts w:hint="eastAsia"/>
        </w:rPr>
        <w:t>度</w:t>
      </w:r>
      <w:r w:rsidRPr="005A1BD6">
        <w:t>地方1,590人、中央1,593人）。地方政府身處第一線，直接面對民眾且業務繁雜，若離職率持續走高，將嚴重衝擊地方政府的公共服務品質。故人事總處身為全國人事行政最高主管機關，應檢討現行中央與地方人力配置或福利津貼之差距，是否為導致地方人才流向中央或民間的主因。爰要求</w:t>
      </w:r>
      <w:r w:rsidRPr="005A1BD6">
        <w:rPr>
          <w:rFonts w:hint="eastAsia"/>
        </w:rPr>
        <w:t>行政院</w:t>
      </w:r>
      <w:r w:rsidRPr="005A1BD6">
        <w:t>人事</w:t>
      </w:r>
      <w:r w:rsidRPr="005A1BD6">
        <w:rPr>
          <w:rFonts w:hint="eastAsia"/>
        </w:rPr>
        <w:t>行政</w:t>
      </w:r>
      <w:r w:rsidRPr="005A1BD6">
        <w:t>總處於</w:t>
      </w:r>
      <w:r w:rsidRPr="005A1BD6">
        <w:rPr>
          <w:rFonts w:hint="eastAsia"/>
        </w:rPr>
        <w:t>3</w:t>
      </w:r>
      <w:r w:rsidRPr="005A1BD6">
        <w:t>個月內針對「地方政府離職率偏高之機關」</w:t>
      </w:r>
      <w:r w:rsidRPr="005A1BD6">
        <w:rPr>
          <w:rFonts w:hint="eastAsia"/>
        </w:rPr>
        <w:t>，分析缺額原因及精進作法等</w:t>
      </w:r>
      <w:r w:rsidRPr="005A1BD6">
        <w:t>具體措施</w:t>
      </w:r>
      <w:r w:rsidRPr="005A1BD6">
        <w:rPr>
          <w:rFonts w:hint="eastAsia"/>
        </w:rPr>
        <w:t>向立法院司法及法制委員會提出</w:t>
      </w:r>
      <w:r w:rsidRPr="005A1BD6">
        <w:t>書面報告。【38】</w:t>
      </w:r>
    </w:p>
    <w:p w14:paraId="599130A7" w14:textId="77777777"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 xml:space="preserve">提案人：張雅琳　</w:t>
      </w:r>
      <w:r w:rsidRPr="005A1BD6">
        <w:rPr>
          <w:rFonts w:ascii="標楷體" w:eastAsia="標楷體" w:hAnsi="標楷體"/>
          <w:color w:val="000000"/>
          <w:spacing w:val="-20"/>
          <w:w w:val="88"/>
          <w:sz w:val="28"/>
          <w:szCs w:val="28"/>
        </w:rPr>
        <w:t>伍麗華Saidhai．Tahovecahe</w:t>
      </w:r>
    </w:p>
    <w:p w14:paraId="3204609E" w14:textId="77777777" w:rsidR="00BF432F" w:rsidRPr="005A1BD6" w:rsidRDefault="00BF432F" w:rsidP="00BF432F">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連署人：沈發惠　范　雲</w:t>
      </w:r>
    </w:p>
    <w:p w14:paraId="6CFB6117" w14:textId="37091B34" w:rsidR="00BF432F" w:rsidRPr="005A1BD6" w:rsidRDefault="00BF432F" w:rsidP="0035245C">
      <w:pPr>
        <w:pStyle w:val="1"/>
      </w:pPr>
      <w:r w:rsidRPr="005A1BD6">
        <w:t>經查，行政院人事行政總處所辦理之中高階公務員培訓計畫，部分計畫參訓人員之性別比例顯見落差。據人</w:t>
      </w:r>
      <w:r w:rsidR="00B87945" w:rsidRPr="005A1BD6">
        <w:rPr>
          <w:rFonts w:hint="eastAsia"/>
        </w:rPr>
        <w:t>事</w:t>
      </w:r>
      <w:r w:rsidRPr="005A1BD6">
        <w:t>總</w:t>
      </w:r>
      <w:r w:rsidR="00B87945" w:rsidRPr="005A1BD6">
        <w:rPr>
          <w:rFonts w:hint="eastAsia"/>
        </w:rPr>
        <w:t>處</w:t>
      </w:r>
      <w:r w:rsidRPr="005A1BD6">
        <w:t>統計，97</w:t>
      </w:r>
      <w:r w:rsidRPr="005A1BD6">
        <w:rPr>
          <w:rFonts w:hint="eastAsia"/>
        </w:rPr>
        <w:t>至</w:t>
      </w:r>
      <w:r w:rsidRPr="005A1BD6">
        <w:t>114年「高階人才培育」計畫（包含國家政務研究班、高階領導研究班、地方政務研究班），女性僅</w:t>
      </w:r>
      <w:r w:rsidRPr="005A1BD6">
        <w:rPr>
          <w:rFonts w:hint="eastAsia"/>
        </w:rPr>
        <w:t>占</w:t>
      </w:r>
      <w:r w:rsidRPr="005A1BD6">
        <w:t>參訓人員35.88%，又「選送國外進修學位」人員，女性僅</w:t>
      </w:r>
      <w:r w:rsidRPr="005A1BD6">
        <w:rPr>
          <w:rFonts w:hint="eastAsia"/>
        </w:rPr>
        <w:t>占</w:t>
      </w:r>
      <w:r w:rsidRPr="005A1BD6">
        <w:t>29.63%。</w:t>
      </w:r>
    </w:p>
    <w:p w14:paraId="02C8AB71" w14:textId="48A9AB0C" w:rsidR="00BF432F" w:rsidRPr="005A1BD6" w:rsidRDefault="004C65E6" w:rsidP="0035245C">
      <w:pPr>
        <w:pStyle w:val="10"/>
      </w:pPr>
      <w:r w:rsidRPr="005A1BD6">
        <w:rPr>
          <w:rFonts w:hint="eastAsia"/>
        </w:rPr>
        <w:t>復</w:t>
      </w:r>
      <w:r w:rsidR="00BF432F" w:rsidRPr="005A1BD6">
        <w:t>查我國公務員之性別組成結構，可見高階公務員中女性本就</w:t>
      </w:r>
      <w:r w:rsidR="00BF432F" w:rsidRPr="005A1BD6">
        <w:rPr>
          <w:rFonts w:hint="eastAsia"/>
        </w:rPr>
        <w:t>占</w:t>
      </w:r>
      <w:r w:rsidR="00BF432F" w:rsidRPr="005A1BD6">
        <w:t>少數。有鑑於此，如何使女性高階公務人才享有充足、優質的培訓機會，於女性公務員個人職涯發展及我國整體公務</w:t>
      </w:r>
      <w:r w:rsidR="00BF432F" w:rsidRPr="005A1BD6">
        <w:lastRenderedPageBreak/>
        <w:t>員體系的性別平等，都是至關重要的課題。</w:t>
      </w:r>
    </w:p>
    <w:p w14:paraId="6765B9BB" w14:textId="21758647" w:rsidR="00BF432F" w:rsidRPr="005A1BD6" w:rsidRDefault="00BF432F" w:rsidP="0035245C">
      <w:pPr>
        <w:pStyle w:val="10"/>
      </w:pPr>
      <w:r w:rsidRPr="005A1BD6">
        <w:t>爰建請行政院人事行政總處就過去</w:t>
      </w:r>
      <w:r w:rsidR="004C65E6" w:rsidRPr="005A1BD6">
        <w:rPr>
          <w:rFonts w:hint="eastAsia"/>
        </w:rPr>
        <w:t>5</w:t>
      </w:r>
      <w:r w:rsidRPr="005A1BD6">
        <w:t>年中高階公務員培訓計畫，分項統計不同性別人員參訓狀況，並就參訓狀況有性別落差之部分進行研究，分析落差成因，並提出相應的對策，俾使我國公務員體系性別平等更進一步。請做成書面報告，於2個月內提交予立法院司法及法制委員會。【39】</w:t>
      </w:r>
    </w:p>
    <w:p w14:paraId="4493372B" w14:textId="77777777" w:rsidR="00BF432F" w:rsidRPr="005A1BD6" w:rsidRDefault="00BF432F" w:rsidP="0035245C">
      <w:pPr>
        <w:pStyle w:val="21"/>
      </w:pPr>
      <w:r w:rsidRPr="005A1BD6">
        <w:t>提案人：范　雲</w:t>
      </w:r>
    </w:p>
    <w:p w14:paraId="5EB83D3E" w14:textId="77777777" w:rsidR="00BF432F" w:rsidRPr="005A1BD6" w:rsidRDefault="00BF432F" w:rsidP="0035245C">
      <w:pPr>
        <w:pStyle w:val="21"/>
      </w:pPr>
      <w:r w:rsidRPr="005A1BD6">
        <w:t>連署人：莊瑞雄　張雅琳</w:t>
      </w:r>
    </w:p>
    <w:p w14:paraId="5D125E72" w14:textId="08F32AA5" w:rsidR="00BF432F" w:rsidRPr="005A1BD6" w:rsidRDefault="00BF432F" w:rsidP="0035245C">
      <w:pPr>
        <w:pStyle w:val="1"/>
      </w:pPr>
      <w:r w:rsidRPr="005A1BD6">
        <w:t>根據行政院</w:t>
      </w:r>
      <w:r w:rsidR="004C65E6" w:rsidRPr="005A1BD6">
        <w:rPr>
          <w:rFonts w:hint="eastAsia"/>
        </w:rPr>
        <w:t>114</w:t>
      </w:r>
      <w:r w:rsidRPr="005A1BD6">
        <w:t>年性別圖像報告，公部門女性參與決策比率較10年前提升。全國公務員近半數是女性，顯示公部門職場漸趨性別平等，國家事務權力與影響力之性別差距逐漸縮小。各部會多年為公部門性別平等所做努力值得肯定，然就公務員受訓升遷方面，仍有進步空間。</w:t>
      </w:r>
    </w:p>
    <w:p w14:paraId="2094E4FE" w14:textId="77777777" w:rsidR="004C65E6" w:rsidRPr="005A1BD6" w:rsidRDefault="00BF432F" w:rsidP="0035245C">
      <w:pPr>
        <w:pStyle w:val="10"/>
      </w:pPr>
      <w:r w:rsidRPr="005A1BD6">
        <w:t>據銓敘部113年底統計，我國具有委任/薦任/簡任官等別之公務員中，女性</w:t>
      </w:r>
      <w:r w:rsidRPr="005A1BD6">
        <w:rPr>
          <w:rFonts w:hint="eastAsia"/>
        </w:rPr>
        <w:t>占</w:t>
      </w:r>
      <w:r w:rsidRPr="005A1BD6">
        <w:t>總體57.4%，男性</w:t>
      </w:r>
      <w:r w:rsidRPr="005A1BD6">
        <w:rPr>
          <w:rFonts w:hint="eastAsia"/>
        </w:rPr>
        <w:t>占</w:t>
      </w:r>
      <w:r w:rsidRPr="005A1BD6">
        <w:t>42.6%。委任與薦任官等別，與整體性別比例大致相當，然若單獨檢視簡任官等別，女性</w:t>
      </w:r>
      <w:r w:rsidRPr="005A1BD6">
        <w:rPr>
          <w:rFonts w:hint="eastAsia"/>
        </w:rPr>
        <w:t>占</w:t>
      </w:r>
      <w:r w:rsidRPr="005A1BD6">
        <w:t>比僅39.7%</w:t>
      </w:r>
      <w:r w:rsidR="004C65E6" w:rsidRPr="005A1BD6">
        <w:t>，顯示中高階公務人員性別平等尚有進步空間。</w:t>
      </w:r>
      <w:r w:rsidR="004C65E6" w:rsidRPr="005A1BD6">
        <w:rPr>
          <w:rFonts w:hint="eastAsia"/>
        </w:rPr>
        <w:t>復</w:t>
      </w:r>
      <w:r w:rsidRPr="005A1BD6">
        <w:t>查，升官等訓練人員性別比率統計，109至113年度，女性參與薦升簡訓練之人數皆少於男性(女性</w:t>
      </w:r>
      <w:r w:rsidRPr="005A1BD6">
        <w:rPr>
          <w:rFonts w:hint="eastAsia"/>
        </w:rPr>
        <w:t>占</w:t>
      </w:r>
      <w:r w:rsidRPr="005A1BD6">
        <w:t>45.6%，約631人；男性</w:t>
      </w:r>
      <w:r w:rsidRPr="005A1BD6">
        <w:rPr>
          <w:rFonts w:hint="eastAsia"/>
        </w:rPr>
        <w:t>占</w:t>
      </w:r>
      <w:r w:rsidRPr="005A1BD6">
        <w:t>54.4%，約752人)，反映早在參與升官等訓練階段，就已出現女性公務員流失現象。</w:t>
      </w:r>
    </w:p>
    <w:p w14:paraId="6F9E0AE1" w14:textId="77777777" w:rsidR="004C65E6" w:rsidRPr="005A1BD6" w:rsidRDefault="00BF432F" w:rsidP="004C65E6">
      <w:pPr>
        <w:pStyle w:val="10"/>
      </w:pPr>
      <w:r w:rsidRPr="005A1BD6">
        <w:t>雖升官等訓練由</w:t>
      </w:r>
      <w:r w:rsidRPr="005A1BD6">
        <w:rPr>
          <w:rFonts w:hint="eastAsia"/>
        </w:rPr>
        <w:t>公務人員</w:t>
      </w:r>
      <w:r w:rsidRPr="005A1BD6">
        <w:t>保</w:t>
      </w:r>
      <w:r w:rsidRPr="005A1BD6">
        <w:rPr>
          <w:rFonts w:hint="eastAsia"/>
        </w:rPr>
        <w:t>障暨培</w:t>
      </w:r>
      <w:r w:rsidRPr="005A1BD6">
        <w:t>訓</w:t>
      </w:r>
      <w:r w:rsidRPr="005A1BD6">
        <w:rPr>
          <w:rFonts w:hint="eastAsia"/>
        </w:rPr>
        <w:t>委員</w:t>
      </w:r>
      <w:r w:rsidRPr="005A1BD6">
        <w:t>會主辦，然各機關公務員受訓遴選作業與名冊報送皆由各機關人事處室辦理，於我國「人事一條鞭」體制下，</w:t>
      </w:r>
      <w:r w:rsidRPr="005A1BD6">
        <w:rPr>
          <w:rFonts w:hint="eastAsia"/>
        </w:rPr>
        <w:t>行政院</w:t>
      </w:r>
      <w:r w:rsidRPr="005A1BD6">
        <w:t>人事行政總處對所屬各機關人事處室辦理業務實有監督之責，包含監督遴選作業流程是否落實性別平等原則。</w:t>
      </w:r>
    </w:p>
    <w:p w14:paraId="24BE1CF9" w14:textId="1ECD9DF4" w:rsidR="00BF432F" w:rsidRPr="005A1BD6" w:rsidRDefault="00BF432F" w:rsidP="004C65E6">
      <w:pPr>
        <w:pStyle w:val="10"/>
      </w:pPr>
      <w:r w:rsidRPr="005A1BD6">
        <w:t>爰建請行政院人事行政總處進行統計工作，研究行政院所屬機關與地方機關過去</w:t>
      </w:r>
      <w:r w:rsidR="004C65E6" w:rsidRPr="005A1BD6">
        <w:rPr>
          <w:rFonts w:hint="eastAsia"/>
        </w:rPr>
        <w:t>5</w:t>
      </w:r>
      <w:r w:rsidRPr="005A1BD6">
        <w:t>年內，不同性別公務人員受薦升簡訓練狀況。報告中應分機關列出</w:t>
      </w:r>
      <w:r w:rsidRPr="005A1BD6">
        <w:rPr>
          <w:rFonts w:hint="eastAsia"/>
        </w:rPr>
        <w:t>1.</w:t>
      </w:r>
      <w:r w:rsidRPr="005A1BD6">
        <w:t>當年度薦任公務員之性別比率、</w:t>
      </w:r>
      <w:r w:rsidRPr="005A1BD6">
        <w:rPr>
          <w:rFonts w:hint="eastAsia"/>
        </w:rPr>
        <w:t>2.</w:t>
      </w:r>
      <w:r w:rsidRPr="005A1BD6">
        <w:t>當年度有受訓資格之薦任公務員性別比率、</w:t>
      </w:r>
      <w:r w:rsidRPr="005A1BD6">
        <w:rPr>
          <w:rFonts w:hint="eastAsia"/>
        </w:rPr>
        <w:t>3.</w:t>
      </w:r>
      <w:r w:rsidRPr="005A1BD6">
        <w:t>實際獲得受訓資格之薦任公務員性別比率；並比較前述數據，檢視各機關不同性別公務人員是否按比例合理獲得受升官等訓練機會？若顯有比例失衡之情事，亦請研析成因，俾使我國公務員體系性別平等更臻完善。請做成書面報告，於3個月內提交予立法院司法及法制委員會。【40】</w:t>
      </w:r>
    </w:p>
    <w:p w14:paraId="2C6A42F7" w14:textId="77777777" w:rsidR="00BF432F" w:rsidRPr="005A1BD6" w:rsidRDefault="00BF432F" w:rsidP="0035245C">
      <w:pPr>
        <w:pStyle w:val="21"/>
      </w:pPr>
      <w:r w:rsidRPr="005A1BD6">
        <w:t>提案人：范　雲</w:t>
      </w:r>
    </w:p>
    <w:p w14:paraId="0397D4A7" w14:textId="77777777" w:rsidR="00BF432F" w:rsidRPr="005A1BD6" w:rsidRDefault="00BF432F" w:rsidP="0035245C">
      <w:pPr>
        <w:pStyle w:val="21"/>
      </w:pPr>
      <w:r w:rsidRPr="005A1BD6">
        <w:t>連署人：莊瑞雄　張雅琳</w:t>
      </w:r>
    </w:p>
    <w:p w14:paraId="72C5B2C0" w14:textId="77777777" w:rsidR="00BF432F" w:rsidRPr="005A1BD6" w:rsidRDefault="00BF432F" w:rsidP="0035245C">
      <w:pPr>
        <w:pStyle w:val="1"/>
      </w:pPr>
      <w:r w:rsidRPr="005A1BD6">
        <w:lastRenderedPageBreak/>
        <w:t>行政院人事行政總處（以下簡稱人總）於115年度預算案中，強調推動「員工協助方案（EAP）」及「心理健康協助」之重要性。過去公部門職場環境之良窳，直接影響公務人力之穩固，近年社會高度關注之勞政機關職場憾事，不僅反映出機關內部申訴機制失靈之風險，更暴露出既有心理輔導措施未能發揮及時預警與實質救援之功能，顯見職場安全感與行政效能之維繫已到關鍵時刻。</w:t>
      </w:r>
    </w:p>
    <w:p w14:paraId="256776C6" w14:textId="77777777" w:rsidR="00BF432F" w:rsidRPr="005A1BD6" w:rsidRDefault="00BF432F" w:rsidP="0035245C">
      <w:pPr>
        <w:pStyle w:val="10"/>
      </w:pPr>
      <w:r w:rsidRPr="005A1BD6">
        <w:t>觀察人總114年度之實施成果，各機關落實法定性別友善事項雖宣稱達100%，惟針對「職場健康促進」與「正向求助意識」等核心指標，其考核標準仍多偏重於辦理研習班、滿意度調查或諮詢場次等量化數據，對於如何實質緩解基層壓力，並進而降低因職場壓力與環境因素導致之離職率，目前尚缺乏具體且有效之質性評估機制。若相關方案無法從組織文化與管理機制著手，恐使員工協助方案流於形式，難以預防悲劇之發生。</w:t>
      </w:r>
    </w:p>
    <w:p w14:paraId="0D4449B2" w14:textId="1D2F7582" w:rsidR="00BF432F" w:rsidRPr="005A1BD6" w:rsidRDefault="00BF432F" w:rsidP="0035245C">
      <w:pPr>
        <w:pStyle w:val="10"/>
      </w:pPr>
      <w:r w:rsidRPr="005A1BD6">
        <w:t>尤有甚者，隨著《職業安全衛生法》修正案及相關職場霸凌防制新制於115年7月正式施行，職場霸凌已從行政指導提升至雇主法律義務。人事總處作為全國公務人員人力資源主管機關，面對新法要求之「立即有效之處置義務」，其現行EAP方案是否具備足夠之外部性與專業度，以應對機關內權力不對等引發之嚴重職場傷害，並保護申訴人免於二次傷害，顯有待進一步釐清。人</w:t>
      </w:r>
      <w:r w:rsidR="004C65E6" w:rsidRPr="005A1BD6">
        <w:rPr>
          <w:rFonts w:hint="eastAsia"/>
        </w:rPr>
        <w:t>事</w:t>
      </w:r>
      <w:r w:rsidRPr="005A1BD6">
        <w:t>總</w:t>
      </w:r>
      <w:r w:rsidR="004C65E6" w:rsidRPr="005A1BD6">
        <w:rPr>
          <w:rFonts w:hint="eastAsia"/>
        </w:rPr>
        <w:t>處</w:t>
      </w:r>
      <w:r w:rsidRPr="005A1BD6">
        <w:t>應引以為戒，確保預算之編列能確實強化內部控制機制，落實對同仁生命與身心健康之保障。</w:t>
      </w:r>
    </w:p>
    <w:p w14:paraId="0FCBFB3F" w14:textId="77777777" w:rsidR="00BF432F" w:rsidRPr="005A1BD6" w:rsidRDefault="00BF432F" w:rsidP="0035245C">
      <w:pPr>
        <w:pStyle w:val="10"/>
      </w:pPr>
      <w:r w:rsidRPr="005A1BD6">
        <w:t>爰此，為督促行政機關正視職場環境對公務人力穩固之影響，並落實《職場霸凌防治相關法制》之配套措施，爰要求行政院人事行政總處應就「如何精進員工協助方案（EAP）實效</w:t>
      </w:r>
      <w:r w:rsidRPr="005A1BD6">
        <w:rPr>
          <w:rFonts w:hint="eastAsia"/>
        </w:rPr>
        <w:t>進行研議，並會同考試院相關機關</w:t>
      </w:r>
      <w:r w:rsidRPr="005A1BD6">
        <w:t>建立降低離職率之質性評估指標，並針對職場霸凌防治新制，建立具外部性之第三方申訴保障與調查機制」，於</w:t>
      </w:r>
      <w:r w:rsidRPr="005A1BD6">
        <w:rPr>
          <w:rFonts w:hint="eastAsia"/>
        </w:rPr>
        <w:t>3</w:t>
      </w:r>
      <w:r w:rsidRPr="005A1BD6">
        <w:t>個月內向立法院司法及法制委員會提出</w:t>
      </w:r>
      <w:r w:rsidRPr="005A1BD6">
        <w:rPr>
          <w:rFonts w:hint="eastAsia"/>
        </w:rPr>
        <w:t>書面</w:t>
      </w:r>
      <w:r w:rsidRPr="005A1BD6">
        <w:t>報告。藉此確保公部門職場安全，保障公務同仁之身心健康與勞動尊嚴，落實政府作為雇主之法定義務。【41】</w:t>
      </w:r>
    </w:p>
    <w:p w14:paraId="1F72619A" w14:textId="77777777" w:rsidR="00BF432F" w:rsidRPr="005A1BD6" w:rsidRDefault="00BF432F" w:rsidP="0035245C">
      <w:pPr>
        <w:pStyle w:val="21"/>
      </w:pPr>
      <w:r w:rsidRPr="005A1BD6">
        <w:t>提案人：陳昭姿　翁曉玲　劉書彬</w:t>
      </w:r>
    </w:p>
    <w:p w14:paraId="748F7F70" w14:textId="02170FE4" w:rsidR="00BF432F" w:rsidRPr="005A1BD6" w:rsidRDefault="00BF432F" w:rsidP="0035245C">
      <w:pPr>
        <w:pStyle w:val="21"/>
      </w:pPr>
      <w:r w:rsidRPr="005A1BD6">
        <w:t>連署人：吳宗憲</w:t>
      </w:r>
    </w:p>
    <w:p w14:paraId="54257A74" w14:textId="77777777" w:rsidR="00F07275" w:rsidRPr="005A1BD6" w:rsidRDefault="00F07275" w:rsidP="00F07275">
      <w:pPr>
        <w:snapToGrid w:val="0"/>
        <w:ind w:leftChars="150" w:left="1200" w:hangingChars="300" w:hanging="840"/>
        <w:jc w:val="both"/>
        <w:rPr>
          <w:rFonts w:ascii="標楷體" w:eastAsia="標楷體" w:hAnsi="標楷體"/>
          <w:color w:val="000000"/>
          <w:sz w:val="28"/>
          <w:szCs w:val="28"/>
        </w:rPr>
      </w:pPr>
      <w:r w:rsidRPr="005A1BD6">
        <w:rPr>
          <w:rFonts w:ascii="標楷體" w:eastAsia="標楷體" w:hAnsi="標楷體"/>
          <w:color w:val="000000"/>
          <w:sz w:val="28"/>
          <w:szCs w:val="28"/>
        </w:rPr>
        <w:t>第4項 公務人力發展學院3億6,079萬5千元，照列。</w:t>
      </w:r>
    </w:p>
    <w:p w14:paraId="3CD7A091" w14:textId="77777777" w:rsidR="00F07275" w:rsidRPr="005A1BD6" w:rsidRDefault="00F07275" w:rsidP="00F07275">
      <w:pPr>
        <w:snapToGrid w:val="0"/>
        <w:ind w:leftChars="150" w:left="1201" w:hangingChars="300" w:hanging="841"/>
        <w:jc w:val="both"/>
        <w:rPr>
          <w:rFonts w:ascii="標楷體" w:eastAsia="標楷體" w:hAnsi="標楷體"/>
          <w:b/>
          <w:sz w:val="28"/>
          <w:szCs w:val="28"/>
        </w:rPr>
      </w:pPr>
      <w:r w:rsidRPr="005A1BD6">
        <w:rPr>
          <w:rFonts w:ascii="標楷體" w:eastAsia="標楷體" w:hAnsi="標楷體"/>
          <w:b/>
          <w:sz w:val="28"/>
          <w:szCs w:val="28"/>
        </w:rPr>
        <w:t>本項通過決議</w:t>
      </w:r>
      <w:r w:rsidRPr="005A1BD6">
        <w:rPr>
          <w:rFonts w:ascii="標楷體" w:eastAsia="標楷體" w:hAnsi="標楷體" w:hint="eastAsia"/>
          <w:b/>
          <w:sz w:val="28"/>
          <w:szCs w:val="28"/>
        </w:rPr>
        <w:t>3</w:t>
      </w:r>
      <w:r w:rsidRPr="005A1BD6">
        <w:rPr>
          <w:rFonts w:ascii="標楷體" w:eastAsia="標楷體" w:hAnsi="標楷體"/>
          <w:b/>
          <w:sz w:val="28"/>
          <w:szCs w:val="28"/>
        </w:rPr>
        <w:t>項：</w:t>
      </w:r>
    </w:p>
    <w:p w14:paraId="37379EC9" w14:textId="421510A1" w:rsidR="00F07275" w:rsidRPr="005A1BD6" w:rsidRDefault="00F07275" w:rsidP="00BF5B2C">
      <w:pPr>
        <w:pStyle w:val="a"/>
        <w:numPr>
          <w:ilvl w:val="0"/>
          <w:numId w:val="20"/>
        </w:numPr>
      </w:pPr>
      <w:r w:rsidRPr="005A1BD6">
        <w:t>115年度行政院人事行政總處公務人力發展學院歲出預算第2目「訓練輔導及研究」編列2億1,430萬4千</w:t>
      </w:r>
      <w:r w:rsidR="004C65E6" w:rsidRPr="005A1BD6">
        <w:rPr>
          <w:rFonts w:hint="eastAsia"/>
        </w:rPr>
        <w:t>元</w:t>
      </w:r>
      <w:r w:rsidRPr="005A1BD6">
        <w:t>，凍結</w:t>
      </w:r>
      <w:r w:rsidRPr="005A1BD6">
        <w:rPr>
          <w:rFonts w:hint="eastAsia"/>
        </w:rPr>
        <w:t>500</w:t>
      </w:r>
      <w:r w:rsidRPr="005A1BD6">
        <w:t>萬元，俟向立法院司法及法制委員會提出書面報告後，始得動支。</w:t>
      </w:r>
      <w:r w:rsidRPr="005A1BD6">
        <w:lastRenderedPageBreak/>
        <w:t>【4</w:t>
      </w:r>
      <w:r w:rsidRPr="005A1BD6">
        <w:rPr>
          <w:rFonts w:hint="eastAsia"/>
        </w:rPr>
        <w:t>2</w:t>
      </w:r>
      <w:r w:rsidRPr="005A1BD6">
        <w:t>】</w:t>
      </w:r>
    </w:p>
    <w:p w14:paraId="6BD36321" w14:textId="77777777" w:rsidR="00F07275" w:rsidRPr="005A1BD6" w:rsidRDefault="00F07275" w:rsidP="00F07275">
      <w:pPr>
        <w:snapToGrid w:val="0"/>
        <w:ind w:leftChars="1500" w:left="4776" w:hangingChars="420" w:hanging="1176"/>
        <w:jc w:val="both"/>
        <w:rPr>
          <w:rFonts w:ascii="標楷體" w:eastAsia="標楷體" w:hAnsi="標楷體"/>
          <w:sz w:val="28"/>
          <w:szCs w:val="28"/>
        </w:rPr>
      </w:pPr>
      <w:r w:rsidRPr="005A1BD6">
        <w:rPr>
          <w:rFonts w:ascii="標楷體" w:eastAsia="標楷體" w:hAnsi="標楷體"/>
          <w:sz w:val="28"/>
          <w:szCs w:val="28"/>
        </w:rPr>
        <w:t>提案人：</w:t>
      </w:r>
      <w:r w:rsidRPr="005A1BD6">
        <w:rPr>
          <w:rFonts w:ascii="標楷體" w:eastAsia="標楷體" w:hAnsi="標楷體" w:hint="eastAsia"/>
          <w:sz w:val="28"/>
          <w:szCs w:val="28"/>
        </w:rPr>
        <w:t>許宇甄</w:t>
      </w:r>
    </w:p>
    <w:p w14:paraId="278EC839" w14:textId="77777777" w:rsidR="00F07275" w:rsidRPr="005A1BD6" w:rsidRDefault="00F07275" w:rsidP="00F0727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sz w:val="28"/>
          <w:szCs w:val="28"/>
        </w:rPr>
        <w:t>連署人：</w:t>
      </w:r>
      <w:r w:rsidRPr="005A1BD6">
        <w:rPr>
          <w:rFonts w:ascii="標楷體" w:eastAsia="標楷體" w:hAnsi="標楷體" w:hint="eastAsia"/>
          <w:sz w:val="28"/>
          <w:szCs w:val="28"/>
        </w:rPr>
        <w:t>林倩綺</w:t>
      </w:r>
      <w:r w:rsidRPr="005A1BD6">
        <w:rPr>
          <w:rFonts w:ascii="標楷體" w:eastAsia="標楷體" w:hAnsi="標楷體"/>
          <w:color w:val="000000"/>
          <w:sz w:val="28"/>
          <w:szCs w:val="28"/>
        </w:rPr>
        <w:t xml:space="preserve">　</w:t>
      </w:r>
      <w:r w:rsidRPr="005A1BD6">
        <w:rPr>
          <w:rFonts w:ascii="標楷體" w:eastAsia="標楷體" w:hAnsi="標楷體" w:hint="eastAsia"/>
          <w:color w:val="000000"/>
          <w:sz w:val="28"/>
          <w:szCs w:val="28"/>
        </w:rPr>
        <w:t>林沛祥</w:t>
      </w:r>
    </w:p>
    <w:p w14:paraId="4EBEB153" w14:textId="77777777" w:rsidR="00F07275" w:rsidRPr="005A1BD6" w:rsidRDefault="00F07275" w:rsidP="0035245C">
      <w:pPr>
        <w:pStyle w:val="1"/>
      </w:pPr>
      <w:r w:rsidRPr="005A1BD6">
        <w:t>「AI政府領航人才發展計畫」規劃「發展公務AI學習地圖、認證體系及標準教材」，積極回應數位治理轉型需求，為系統性提升全體公務人員AI職能奠定制度基礎，並與當前數位社會發展趨勢相互接軌，政策方向值得肯定。然現行公務AI認證體系之建構方式及制度設計未有具體說明，亦即，認證制度能否有效形成公務人員自主精進之誘因機制，為確保政策目標得以具體落實，並建立有效之後續追蹤機制。</w:t>
      </w:r>
    </w:p>
    <w:p w14:paraId="04A5A23C" w14:textId="62E1A61E" w:rsidR="00F07275" w:rsidRPr="005A1BD6" w:rsidRDefault="00F07275" w:rsidP="0035245C">
      <w:pPr>
        <w:pStyle w:val="10"/>
      </w:pPr>
      <w:r w:rsidRPr="005A1BD6">
        <w:t>爰請行政院人事行政總處公務人力發展學院就公務AI認證體系之完整制度設計，各層級認證標準、適用對象，以及未來與公務人員訓練研議納入升遷晉敘之可行規劃方向，於3個月內向立法院司法及法制委員會提出書面報告。【43】</w:t>
      </w:r>
    </w:p>
    <w:p w14:paraId="614D8C8B" w14:textId="77777777" w:rsidR="00F07275" w:rsidRPr="005A1BD6" w:rsidRDefault="00F07275" w:rsidP="00F0727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提案人：沈發惠</w:t>
      </w:r>
    </w:p>
    <w:p w14:paraId="7715ABE6" w14:textId="77777777" w:rsidR="00F07275" w:rsidRPr="005A1BD6" w:rsidRDefault="00F07275" w:rsidP="00F0727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連署人：范　雲　莊瑞雄</w:t>
      </w:r>
    </w:p>
    <w:p w14:paraId="15709CFB" w14:textId="77777777" w:rsidR="00F07275" w:rsidRPr="005A1BD6" w:rsidRDefault="00F07275" w:rsidP="0035245C">
      <w:pPr>
        <w:pStyle w:val="1"/>
      </w:pPr>
      <w:r w:rsidRPr="005A1BD6">
        <w:t>鑑於近年公務人力培訓需求日益多元，涉及數位轉型應用、專業職能深化、AI工具輔助及跨域溝通協作等多重面向，現行《</w:t>
      </w:r>
      <w:r w:rsidRPr="005A1BD6">
        <w:rPr>
          <w:rFonts w:hint="eastAsia"/>
        </w:rPr>
        <w:t>行政院及所屬機關學校推動</w:t>
      </w:r>
      <w:r w:rsidRPr="005A1BD6">
        <w:t>公務人員終身學習實施要點》及相關考核機制，仍有學習型態異化、必修類別僵化重複、行政程序流於形式等問題。具體困境包含部分數位學習課程缺乏互動性，導致基層同仁以「掛機播放」方式虛耗時數，學習效益不彰；且必修類別（如環境教育、性平、廉政等）課程內容多年未大幅更新，與各機關業務實務關聯度不一，造成重複受訓之資源浪費。此外，年度考核過度強調完成率與總時數，導致基層同仁與人事人員在繁重公務之外，尚需承擔沉重之數位學習行政負擔，致使「終身學習」之良法美意異化為公務體系之行政枷鎖。</w:t>
      </w:r>
    </w:p>
    <w:p w14:paraId="1C42F791" w14:textId="77777777" w:rsidR="00F07275" w:rsidRPr="005A1BD6" w:rsidRDefault="00F07275" w:rsidP="0035245C">
      <w:pPr>
        <w:pStyle w:val="10"/>
      </w:pPr>
      <w:r w:rsidRPr="005A1BD6">
        <w:t>為強化公務人力培訓效能並落實實質學習，行政院人事行政總處公務人力發展學院應全面檢討現行終身學習考核機制，盤點各級機關必修時數之必要性、數位學習平台課程之品質控管、外部優質教學資源之引進機制、以及「量轉質」之考核指標轉型。</w:t>
      </w:r>
    </w:p>
    <w:p w14:paraId="502039DC" w14:textId="77777777" w:rsidR="00F07275" w:rsidRDefault="00F07275" w:rsidP="0035245C">
      <w:pPr>
        <w:pStyle w:val="10"/>
      </w:pPr>
      <w:r w:rsidRPr="005A1BD6">
        <w:t>爰要求行政院人事行政總處公務人力發展學院於</w:t>
      </w:r>
      <w:r w:rsidRPr="005A1BD6">
        <w:rPr>
          <w:rFonts w:hint="eastAsia"/>
        </w:rPr>
        <w:t>3</w:t>
      </w:r>
      <w:r w:rsidRPr="005A1BD6">
        <w:t>個月內向立法院</w:t>
      </w:r>
      <w:r w:rsidRPr="005A1BD6">
        <w:rPr>
          <w:rFonts w:hint="eastAsia"/>
        </w:rPr>
        <w:t>司法及法制委員會</w:t>
      </w:r>
      <w:r w:rsidRPr="005A1BD6">
        <w:t>提出</w:t>
      </w:r>
      <w:r w:rsidRPr="000D2ED6">
        <w:t>「公務人員終身學習制度成效檢討、數位學習平台精進方案及公務人力職能培育多元化」書面報告，以確保國家公務人力資源之良善發展與行政效能。【44】</w:t>
      </w:r>
    </w:p>
    <w:p w14:paraId="7F5891FF" w14:textId="77777777" w:rsidR="00F07275" w:rsidRDefault="00F07275" w:rsidP="00F07275">
      <w:pPr>
        <w:snapToGrid w:val="0"/>
        <w:ind w:leftChars="1500" w:left="4776" w:hangingChars="420" w:hanging="1176"/>
        <w:jc w:val="both"/>
        <w:rPr>
          <w:rFonts w:ascii="標楷體" w:eastAsia="標楷體" w:hAnsi="標楷體"/>
          <w:color w:val="000000"/>
          <w:sz w:val="28"/>
          <w:szCs w:val="28"/>
        </w:rPr>
      </w:pPr>
      <w:r>
        <w:rPr>
          <w:rFonts w:ascii="標楷體" w:eastAsia="標楷體" w:hAnsi="標楷體"/>
          <w:color w:val="000000"/>
          <w:sz w:val="28"/>
          <w:szCs w:val="28"/>
        </w:rPr>
        <w:lastRenderedPageBreak/>
        <w:t>提案人：張雅琳</w:t>
      </w:r>
    </w:p>
    <w:p w14:paraId="65DFC44D" w14:textId="03E5E51E" w:rsidR="00F07275" w:rsidRDefault="00F07275" w:rsidP="00F07275">
      <w:pPr>
        <w:snapToGrid w:val="0"/>
        <w:ind w:leftChars="1500" w:left="4776" w:hangingChars="420" w:hanging="1176"/>
        <w:jc w:val="both"/>
        <w:rPr>
          <w:rFonts w:hAnsi="標楷體"/>
          <w:sz w:val="28"/>
          <w:szCs w:val="28"/>
        </w:rPr>
      </w:pPr>
      <w:r>
        <w:rPr>
          <w:rFonts w:ascii="標楷體" w:eastAsia="標楷體" w:hAnsi="標楷體"/>
          <w:color w:val="000000"/>
          <w:sz w:val="28"/>
          <w:szCs w:val="28"/>
        </w:rPr>
        <w:t>連署人：莊瑞雄　沈發惠</w:t>
      </w:r>
    </w:p>
    <w:p w14:paraId="2756D466" w14:textId="06EF714C" w:rsidR="008B0B99" w:rsidRDefault="00702ECE" w:rsidP="00D8307C">
      <w:pPr>
        <w:snapToGrid w:val="0"/>
        <w:spacing w:line="380" w:lineRule="exact"/>
        <w:ind w:leftChars="53" w:left="828" w:hangingChars="250" w:hanging="701"/>
        <w:jc w:val="both"/>
        <w:rPr>
          <w:rFonts w:ascii="標楷體" w:eastAsia="標楷體" w:hAnsi="標楷體" w:cs="Times New Roman"/>
          <w:b/>
          <w:bCs/>
          <w:sz w:val="28"/>
          <w:szCs w:val="28"/>
        </w:rPr>
      </w:pPr>
      <w:r>
        <w:rPr>
          <w:rFonts w:ascii="標楷體" w:eastAsia="標楷體" w:hAnsi="標楷體" w:cs="Times New Roman" w:hint="eastAsia"/>
          <w:b/>
          <w:bCs/>
          <w:sz w:val="28"/>
          <w:szCs w:val="28"/>
        </w:rPr>
        <w:t>(</w:t>
      </w:r>
      <w:r w:rsidR="008B0B99" w:rsidRPr="008B0B99">
        <w:rPr>
          <w:rFonts w:ascii="標楷體" w:eastAsia="標楷體" w:hAnsi="標楷體" w:cs="Times New Roman" w:hint="eastAsia"/>
          <w:b/>
          <w:bCs/>
          <w:sz w:val="28"/>
          <w:szCs w:val="28"/>
        </w:rPr>
        <w:t>三</w:t>
      </w:r>
      <w:r>
        <w:rPr>
          <w:rFonts w:ascii="標楷體" w:eastAsia="標楷體" w:hAnsi="標楷體" w:cs="Times New Roman"/>
          <w:b/>
          <w:bCs/>
          <w:sz w:val="28"/>
          <w:szCs w:val="28"/>
        </w:rPr>
        <w:t>）</w:t>
      </w:r>
      <w:r w:rsidR="008B0B99" w:rsidRPr="00D8307C">
        <w:rPr>
          <w:rFonts w:ascii="標楷體" w:eastAsia="標楷體" w:hAnsi="標楷體" w:cs="Times New Roman" w:hint="eastAsia"/>
          <w:b/>
          <w:color w:val="000000" w:themeColor="text1"/>
          <w:kern w:val="0"/>
          <w:sz w:val="28"/>
          <w:szCs w:val="28"/>
          <w:shd w:val="clear" w:color="auto" w:fill="FFFFFF"/>
        </w:rPr>
        <w:t>中華民國</w:t>
      </w:r>
      <w:r w:rsidR="008B0B99" w:rsidRPr="008B0B99">
        <w:rPr>
          <w:rFonts w:ascii="標楷體" w:eastAsia="標楷體" w:hAnsi="標楷體" w:cs="Times New Roman" w:hint="eastAsia"/>
          <w:b/>
          <w:bCs/>
          <w:sz w:val="28"/>
          <w:szCs w:val="28"/>
        </w:rPr>
        <w:t>11</w:t>
      </w:r>
      <w:r w:rsidR="008B0B99">
        <w:rPr>
          <w:rFonts w:ascii="標楷體" w:eastAsia="標楷體" w:hAnsi="標楷體" w:cs="Times New Roman" w:hint="eastAsia"/>
          <w:b/>
          <w:bCs/>
          <w:sz w:val="28"/>
          <w:szCs w:val="28"/>
        </w:rPr>
        <w:t>5</w:t>
      </w:r>
      <w:r w:rsidR="008B0B99" w:rsidRPr="008B0B99">
        <w:rPr>
          <w:rFonts w:ascii="標楷體" w:eastAsia="標楷體" w:hAnsi="標楷體" w:cs="Times New Roman" w:hint="eastAsia"/>
          <w:b/>
          <w:bCs/>
          <w:sz w:val="28"/>
          <w:szCs w:val="28"/>
        </w:rPr>
        <w:t>年度中央政府總預算案關於行政院人事行政總處及所屬主管收支部分</w:t>
      </w:r>
      <w:r w:rsidR="008B0B99" w:rsidRPr="008B0B99">
        <w:rPr>
          <w:rFonts w:ascii="標楷體" w:eastAsia="標楷體" w:hAnsi="標楷體" w:cs="Times New Roman"/>
          <w:b/>
          <w:bCs/>
          <w:sz w:val="28"/>
          <w:szCs w:val="28"/>
        </w:rPr>
        <w:t>審查完竣，提報院會</w:t>
      </w:r>
      <w:r w:rsidR="008B0B99" w:rsidRPr="008B0B99">
        <w:rPr>
          <w:rFonts w:ascii="標楷體" w:eastAsia="標楷體" w:hAnsi="標楷體" w:cs="Times New Roman" w:hint="eastAsia"/>
          <w:b/>
          <w:bCs/>
          <w:sz w:val="28"/>
          <w:szCs w:val="28"/>
        </w:rPr>
        <w:t>，</w:t>
      </w:r>
      <w:r w:rsidR="008B0B99" w:rsidRPr="008B0B99">
        <w:rPr>
          <w:rFonts w:ascii="標楷體" w:eastAsia="標楷體" w:hAnsi="標楷體" w:cs="Times New Roman"/>
          <w:b/>
          <w:bCs/>
          <w:sz w:val="28"/>
          <w:szCs w:val="28"/>
        </w:rPr>
        <w:t>院會討論</w:t>
      </w:r>
      <w:r w:rsidR="008B0B99" w:rsidRPr="008B0B99">
        <w:rPr>
          <w:rFonts w:ascii="標楷體" w:eastAsia="標楷體" w:hAnsi="標楷體" w:cs="Times New Roman" w:hint="eastAsia"/>
          <w:b/>
          <w:bCs/>
          <w:sz w:val="28"/>
          <w:szCs w:val="28"/>
        </w:rPr>
        <w:t>前，</w:t>
      </w:r>
      <w:r w:rsidR="008B0B99" w:rsidRPr="008B0B99">
        <w:rPr>
          <w:rFonts w:ascii="標楷體" w:eastAsia="標楷體" w:hAnsi="標楷體" w:cs="Times New Roman"/>
          <w:b/>
          <w:bCs/>
          <w:sz w:val="28"/>
          <w:szCs w:val="28"/>
        </w:rPr>
        <w:t>須交由黨團協商</w:t>
      </w:r>
      <w:r w:rsidR="008B0B99" w:rsidRPr="008B0B99">
        <w:rPr>
          <w:rFonts w:ascii="標楷體" w:eastAsia="標楷體" w:hAnsi="標楷體" w:cs="Times New Roman" w:hint="eastAsia"/>
          <w:b/>
          <w:bCs/>
          <w:sz w:val="28"/>
          <w:szCs w:val="28"/>
        </w:rPr>
        <w:t>；院會討論時，由</w:t>
      </w:r>
      <w:r w:rsidR="008B0B99">
        <w:rPr>
          <w:rFonts w:ascii="標楷體" w:eastAsia="標楷體" w:hAnsi="標楷體" w:cs="Times New Roman" w:hint="eastAsia"/>
          <w:b/>
          <w:bCs/>
          <w:sz w:val="28"/>
          <w:szCs w:val="28"/>
        </w:rPr>
        <w:t>莊召集委員瑞雄</w:t>
      </w:r>
      <w:r w:rsidR="008B0B99" w:rsidRPr="008B0B99">
        <w:rPr>
          <w:rFonts w:ascii="標楷體" w:eastAsia="標楷體" w:hAnsi="標楷體" w:cs="Times New Roman" w:hint="eastAsia"/>
          <w:b/>
          <w:bCs/>
          <w:sz w:val="28"/>
          <w:szCs w:val="28"/>
        </w:rPr>
        <w:t>出席說明</w:t>
      </w:r>
      <w:r w:rsidR="008B0B99" w:rsidRPr="008B0B99">
        <w:rPr>
          <w:rFonts w:ascii="標楷體" w:eastAsia="標楷體" w:hAnsi="標楷體" w:cs="Times New Roman"/>
          <w:b/>
          <w:bCs/>
          <w:sz w:val="28"/>
          <w:szCs w:val="28"/>
        </w:rPr>
        <w:t>。</w:t>
      </w:r>
    </w:p>
    <w:p w14:paraId="2ADA33BF" w14:textId="77777777" w:rsidR="00D8307C" w:rsidRPr="008B0B99" w:rsidRDefault="00D8307C" w:rsidP="00D8307C">
      <w:pPr>
        <w:snapToGrid w:val="0"/>
        <w:spacing w:line="380" w:lineRule="exact"/>
        <w:ind w:leftChars="53" w:left="828" w:hangingChars="250" w:hanging="701"/>
        <w:jc w:val="both"/>
        <w:rPr>
          <w:rFonts w:ascii="標楷體" w:eastAsia="標楷體" w:hAnsi="標楷體" w:cs="Times New Roman"/>
          <w:b/>
          <w:bCs/>
          <w:sz w:val="28"/>
          <w:szCs w:val="28"/>
        </w:rPr>
      </w:pPr>
    </w:p>
    <w:p w14:paraId="491F23AC" w14:textId="2943F7D2" w:rsidR="008B0B99" w:rsidRPr="004C65E6" w:rsidRDefault="008B0B99" w:rsidP="008B0B99">
      <w:pPr>
        <w:spacing w:beforeLines="50" w:before="180" w:line="400" w:lineRule="exact"/>
        <w:ind w:left="426" w:hangingChars="152" w:hanging="426"/>
        <w:contextualSpacing/>
        <w:jc w:val="both"/>
        <w:rPr>
          <w:rFonts w:ascii="標楷體" w:eastAsia="標楷體" w:hAnsi="標楷體" w:cs="Times New Roman"/>
          <w:b/>
          <w:sz w:val="28"/>
          <w:szCs w:val="28"/>
        </w:rPr>
      </w:pPr>
      <w:r w:rsidRPr="004C65E6">
        <w:rPr>
          <w:rFonts w:ascii="標楷體" w:eastAsia="標楷體" w:hAnsi="標楷體" w:cs="Times New Roman" w:hint="eastAsia"/>
          <w:b/>
          <w:sz w:val="28"/>
          <w:szCs w:val="28"/>
        </w:rPr>
        <w:t>二</w:t>
      </w:r>
      <w:r w:rsidRPr="004C65E6">
        <w:rPr>
          <w:rFonts w:ascii="標楷體" w:eastAsia="標楷體" w:hAnsi="標楷體" w:cs="Times New Roman"/>
          <w:b/>
          <w:sz w:val="28"/>
          <w:szCs w:val="28"/>
        </w:rPr>
        <w:t>、</w:t>
      </w:r>
      <w:r w:rsidRPr="004C65E6">
        <w:rPr>
          <w:rFonts w:ascii="標楷體" w:eastAsia="標楷體" w:hAnsi="標楷體" w:cs="Times New Roman" w:hint="eastAsia"/>
          <w:b/>
          <w:sz w:val="28"/>
          <w:szCs w:val="28"/>
        </w:rPr>
        <w:t>115年度中央政府總預算案附屬單位預算非營業部分關於行政院人事行政總處主管「中央公教人員急難救助基金」收支部分</w:t>
      </w:r>
      <w:r w:rsidRPr="004C65E6">
        <w:rPr>
          <w:rFonts w:ascii="標楷體" w:eastAsia="標楷體" w:hAnsi="標楷體" w:cs="Times New Roman"/>
          <w:b/>
          <w:sz w:val="28"/>
          <w:szCs w:val="28"/>
        </w:rPr>
        <w:t>：</w:t>
      </w:r>
    </w:p>
    <w:p w14:paraId="4AA8566D" w14:textId="77777777" w:rsidR="008B0B99" w:rsidRPr="008B0B99" w:rsidRDefault="008B0B99" w:rsidP="008B0B99">
      <w:pPr>
        <w:spacing w:line="400" w:lineRule="exact"/>
        <w:ind w:leftChars="200" w:left="1040" w:hangingChars="200" w:hanging="560"/>
        <w:jc w:val="both"/>
        <w:rPr>
          <w:rFonts w:ascii="標楷體" w:eastAsia="標楷體" w:hAnsi="標楷體" w:cs="Times New Roman"/>
          <w:sz w:val="28"/>
          <w:szCs w:val="28"/>
        </w:rPr>
      </w:pPr>
      <w:r w:rsidRPr="008B0B99">
        <w:rPr>
          <w:rFonts w:ascii="標楷體" w:eastAsia="標楷體" w:hAnsi="標楷體" w:cs="Times New Roman"/>
          <w:sz w:val="28"/>
          <w:szCs w:val="28"/>
        </w:rPr>
        <w:t>(一)基金運用計畫：應依據收支、餘絀撥補等項之審查結果</w:t>
      </w:r>
      <w:r w:rsidRPr="008B0B99">
        <w:rPr>
          <w:rFonts w:ascii="標楷體" w:eastAsia="標楷體" w:hAnsi="標楷體" w:cs="Times New Roman" w:hint="eastAsia"/>
          <w:sz w:val="28"/>
          <w:szCs w:val="28"/>
        </w:rPr>
        <w:t>，隨同</w:t>
      </w:r>
      <w:r w:rsidRPr="008B0B99">
        <w:rPr>
          <w:rFonts w:ascii="標楷體" w:eastAsia="標楷體" w:hAnsi="標楷體" w:cs="Times New Roman"/>
          <w:sz w:val="28"/>
          <w:szCs w:val="28"/>
        </w:rPr>
        <w:t>調整。</w:t>
      </w:r>
    </w:p>
    <w:p w14:paraId="37085E61" w14:textId="084B3CA8" w:rsidR="008B0B99" w:rsidRPr="008B0B99" w:rsidRDefault="008B0B99" w:rsidP="008B0B99">
      <w:pPr>
        <w:spacing w:line="400" w:lineRule="exact"/>
        <w:ind w:leftChars="199" w:left="962" w:hangingChars="173" w:hanging="484"/>
        <w:jc w:val="both"/>
        <w:rPr>
          <w:rFonts w:ascii="標楷體" w:eastAsia="標楷體" w:hAnsi="標楷體" w:cs="Times New Roman"/>
          <w:sz w:val="28"/>
          <w:szCs w:val="28"/>
        </w:rPr>
      </w:pPr>
      <w:r w:rsidRPr="008B0B99">
        <w:rPr>
          <w:rFonts w:ascii="標楷體" w:eastAsia="標楷體" w:hAnsi="標楷體" w:cs="Times New Roman"/>
          <w:sz w:val="28"/>
          <w:szCs w:val="28"/>
        </w:rPr>
        <w:t>(二)總收入：</w:t>
      </w:r>
      <w:r>
        <w:rPr>
          <w:rFonts w:ascii="標楷體" w:eastAsia="標楷體" w:hAnsi="標楷體" w:cs="Times New Roman"/>
          <w:sz w:val="28"/>
          <w:szCs w:val="28"/>
        </w:rPr>
        <w:t>62</w:t>
      </w:r>
      <w:r>
        <w:rPr>
          <w:rFonts w:ascii="標楷體" w:eastAsia="標楷體" w:hAnsi="標楷體" w:cs="Times New Roman" w:hint="eastAsia"/>
          <w:sz w:val="28"/>
          <w:szCs w:val="28"/>
        </w:rPr>
        <w:t>8</w:t>
      </w:r>
      <w:r w:rsidRPr="008B0B99">
        <w:rPr>
          <w:rFonts w:ascii="標楷體" w:eastAsia="標楷體" w:hAnsi="標楷體" w:cs="Times New Roman" w:hint="eastAsia"/>
          <w:sz w:val="28"/>
          <w:szCs w:val="28"/>
        </w:rPr>
        <w:t>萬元</w:t>
      </w:r>
      <w:r w:rsidRPr="008B0B99">
        <w:rPr>
          <w:rFonts w:ascii="標楷體" w:eastAsia="標楷體" w:hAnsi="標楷體" w:cs="Times New Roman"/>
          <w:sz w:val="28"/>
          <w:szCs w:val="28"/>
        </w:rPr>
        <w:t>，照列。</w:t>
      </w:r>
    </w:p>
    <w:p w14:paraId="57196D5A" w14:textId="52E4F6D4" w:rsidR="008B0B99" w:rsidRPr="008B0B99" w:rsidRDefault="008B0B99" w:rsidP="008B0B99">
      <w:pPr>
        <w:spacing w:line="400" w:lineRule="exact"/>
        <w:ind w:leftChars="199" w:left="962" w:hangingChars="173" w:hanging="484"/>
        <w:jc w:val="both"/>
        <w:rPr>
          <w:rFonts w:ascii="標楷體" w:eastAsia="標楷體" w:hAnsi="標楷體" w:cs="Times New Roman"/>
          <w:sz w:val="28"/>
          <w:szCs w:val="28"/>
        </w:rPr>
      </w:pPr>
      <w:r w:rsidRPr="008B0B99">
        <w:rPr>
          <w:rFonts w:ascii="標楷體" w:eastAsia="標楷體" w:hAnsi="標楷體" w:cs="Times New Roman"/>
          <w:sz w:val="28"/>
          <w:szCs w:val="28"/>
        </w:rPr>
        <w:t>(三)總支出：</w:t>
      </w:r>
      <w:r w:rsidRPr="008B0B99">
        <w:rPr>
          <w:rFonts w:ascii="標楷體" w:eastAsia="標楷體" w:hAnsi="標楷體" w:cs="Times New Roman" w:hint="eastAsia"/>
          <w:bCs/>
          <w:sz w:val="28"/>
          <w:szCs w:val="28"/>
        </w:rPr>
        <w:t>1</w:t>
      </w:r>
      <w:r w:rsidRPr="008B0B99">
        <w:rPr>
          <w:rFonts w:ascii="標楷體" w:eastAsia="標楷體" w:hAnsi="標楷體" w:cs="Times New Roman"/>
          <w:bCs/>
          <w:sz w:val="28"/>
          <w:szCs w:val="28"/>
        </w:rPr>
        <w:t>05</w:t>
      </w:r>
      <w:r w:rsidRPr="008B0B99">
        <w:rPr>
          <w:rFonts w:ascii="標楷體" w:eastAsia="標楷體" w:hAnsi="標楷體" w:cs="Times New Roman" w:hint="eastAsia"/>
          <w:sz w:val="28"/>
          <w:szCs w:val="28"/>
        </w:rPr>
        <w:t>萬</w:t>
      </w:r>
      <w:r>
        <w:rPr>
          <w:rFonts w:ascii="標楷體" w:eastAsia="標楷體" w:hAnsi="標楷體" w:cs="Times New Roman" w:hint="eastAsia"/>
          <w:sz w:val="28"/>
          <w:szCs w:val="28"/>
        </w:rPr>
        <w:t>4</w:t>
      </w:r>
      <w:r w:rsidRPr="008B0B99">
        <w:rPr>
          <w:rFonts w:ascii="標楷體" w:eastAsia="標楷體" w:hAnsi="標楷體" w:cs="Times New Roman" w:hint="eastAsia"/>
          <w:sz w:val="28"/>
          <w:szCs w:val="28"/>
        </w:rPr>
        <w:t>千元</w:t>
      </w:r>
      <w:r w:rsidRPr="008B0B99">
        <w:rPr>
          <w:rFonts w:ascii="標楷體" w:eastAsia="標楷體" w:hAnsi="標楷體" w:cs="Times New Roman"/>
          <w:sz w:val="28"/>
          <w:szCs w:val="28"/>
        </w:rPr>
        <w:t>，照列。</w:t>
      </w:r>
    </w:p>
    <w:p w14:paraId="058505CB" w14:textId="2959A7EC" w:rsidR="008B0B99" w:rsidRPr="008B0B99" w:rsidRDefault="008B0B99" w:rsidP="008B0B99">
      <w:pPr>
        <w:spacing w:line="400" w:lineRule="exact"/>
        <w:ind w:leftChars="199" w:left="962" w:hangingChars="173" w:hanging="484"/>
        <w:jc w:val="both"/>
        <w:rPr>
          <w:rFonts w:ascii="標楷體" w:eastAsia="標楷體" w:hAnsi="標楷體" w:cs="Times New Roman"/>
          <w:sz w:val="28"/>
          <w:szCs w:val="28"/>
        </w:rPr>
      </w:pPr>
      <w:r w:rsidRPr="008B0B99">
        <w:rPr>
          <w:rFonts w:ascii="標楷體" w:eastAsia="標楷體" w:hAnsi="標楷體" w:cs="Times New Roman"/>
          <w:sz w:val="28"/>
          <w:szCs w:val="28"/>
        </w:rPr>
        <w:t>(四)本期賸餘：</w:t>
      </w:r>
      <w:r w:rsidRPr="008B0B99">
        <w:rPr>
          <w:rFonts w:ascii="標楷體" w:eastAsia="標楷體" w:hAnsi="標楷體" w:cs="Times New Roman" w:hint="eastAsia"/>
          <w:sz w:val="28"/>
          <w:szCs w:val="28"/>
        </w:rPr>
        <w:t>5</w:t>
      </w:r>
      <w:r>
        <w:rPr>
          <w:rFonts w:ascii="標楷體" w:eastAsia="標楷體" w:hAnsi="標楷體" w:cs="Times New Roman" w:hint="eastAsia"/>
          <w:sz w:val="28"/>
          <w:szCs w:val="28"/>
        </w:rPr>
        <w:t>22</w:t>
      </w:r>
      <w:r w:rsidRPr="008B0B99">
        <w:rPr>
          <w:rFonts w:ascii="標楷體" w:eastAsia="標楷體" w:hAnsi="標楷體" w:cs="Times New Roman" w:hint="eastAsia"/>
          <w:sz w:val="28"/>
          <w:szCs w:val="28"/>
        </w:rPr>
        <w:t>萬</w:t>
      </w:r>
      <w:r>
        <w:rPr>
          <w:rFonts w:ascii="標楷體" w:eastAsia="標楷體" w:hAnsi="標楷體" w:cs="Times New Roman" w:hint="eastAsia"/>
          <w:sz w:val="28"/>
          <w:szCs w:val="28"/>
        </w:rPr>
        <w:t>6千</w:t>
      </w:r>
      <w:r w:rsidRPr="008B0B99">
        <w:rPr>
          <w:rFonts w:ascii="標楷體" w:eastAsia="標楷體" w:hAnsi="標楷體" w:cs="Times New Roman" w:hint="eastAsia"/>
          <w:sz w:val="28"/>
          <w:szCs w:val="28"/>
        </w:rPr>
        <w:t>元</w:t>
      </w:r>
      <w:r w:rsidRPr="008B0B99">
        <w:rPr>
          <w:rFonts w:ascii="標楷體" w:eastAsia="標楷體" w:hAnsi="標楷體" w:cs="Times New Roman"/>
          <w:sz w:val="28"/>
          <w:szCs w:val="28"/>
        </w:rPr>
        <w:t>，照列。</w:t>
      </w:r>
    </w:p>
    <w:p w14:paraId="5B3BE608" w14:textId="15FA31FB" w:rsidR="00816707" w:rsidRDefault="008B0B99" w:rsidP="008B0B99">
      <w:pPr>
        <w:adjustRightInd w:val="0"/>
        <w:snapToGrid w:val="0"/>
        <w:spacing w:line="400" w:lineRule="exact"/>
        <w:ind w:leftChars="210" w:left="1065" w:hangingChars="200" w:hanging="561"/>
        <w:jc w:val="both"/>
        <w:rPr>
          <w:rFonts w:ascii="標楷體" w:eastAsia="標楷體" w:hAnsi="標楷體" w:cs="Times New Roman"/>
          <w:b/>
          <w:sz w:val="28"/>
          <w:szCs w:val="28"/>
        </w:rPr>
      </w:pPr>
      <w:r w:rsidRPr="004C65E6">
        <w:rPr>
          <w:rFonts w:ascii="標楷體" w:eastAsia="標楷體" w:hAnsi="標楷體" w:cs="Times New Roman"/>
          <w:b/>
          <w:sz w:val="28"/>
          <w:szCs w:val="28"/>
        </w:rPr>
        <w:t>(</w:t>
      </w:r>
      <w:r w:rsidRPr="004C65E6">
        <w:rPr>
          <w:rFonts w:ascii="標楷體" w:eastAsia="標楷體" w:hAnsi="標楷體" w:cs="Times New Roman" w:hint="eastAsia"/>
          <w:b/>
          <w:sz w:val="28"/>
          <w:szCs w:val="28"/>
        </w:rPr>
        <w:t>五</w:t>
      </w:r>
      <w:r w:rsidRPr="004C65E6">
        <w:rPr>
          <w:rFonts w:ascii="標楷體" w:eastAsia="標楷體" w:hAnsi="標楷體" w:cs="Times New Roman"/>
          <w:b/>
          <w:sz w:val="28"/>
          <w:szCs w:val="28"/>
        </w:rPr>
        <w:t>)</w:t>
      </w:r>
      <w:r w:rsidRPr="008B0B99">
        <w:rPr>
          <w:rFonts w:ascii="標楷體" w:eastAsia="標楷體" w:hAnsi="標楷體" w:cs="Times New Roman" w:hint="eastAsia"/>
          <w:b/>
          <w:sz w:val="28"/>
          <w:szCs w:val="28"/>
        </w:rPr>
        <w:t>本案</w:t>
      </w:r>
      <w:r w:rsidRPr="008B0B99">
        <w:rPr>
          <w:rFonts w:ascii="標楷體" w:eastAsia="標楷體" w:hAnsi="標楷體" w:cs="Times New Roman"/>
          <w:b/>
          <w:sz w:val="28"/>
          <w:szCs w:val="28"/>
        </w:rPr>
        <w:t>審查完竣，提報院會</w:t>
      </w:r>
      <w:r w:rsidRPr="008B0B99">
        <w:rPr>
          <w:rFonts w:ascii="標楷體" w:eastAsia="標楷體" w:hAnsi="標楷體" w:cs="Times New Roman" w:hint="eastAsia"/>
          <w:b/>
          <w:sz w:val="28"/>
          <w:szCs w:val="28"/>
        </w:rPr>
        <w:t>，</w:t>
      </w:r>
      <w:r w:rsidRPr="008B0B99">
        <w:rPr>
          <w:rFonts w:ascii="標楷體" w:eastAsia="標楷體" w:hAnsi="標楷體" w:cs="Times New Roman"/>
          <w:b/>
          <w:sz w:val="28"/>
          <w:szCs w:val="28"/>
        </w:rPr>
        <w:t>院會討論</w:t>
      </w:r>
      <w:r w:rsidRPr="008B0B99">
        <w:rPr>
          <w:rFonts w:ascii="標楷體" w:eastAsia="標楷體" w:hAnsi="標楷體" w:cs="Times New Roman" w:hint="eastAsia"/>
          <w:b/>
          <w:sz w:val="28"/>
          <w:szCs w:val="28"/>
        </w:rPr>
        <w:t>前，</w:t>
      </w:r>
      <w:r w:rsidRPr="008B0B99">
        <w:rPr>
          <w:rFonts w:ascii="標楷體" w:eastAsia="標楷體" w:hAnsi="標楷體" w:cs="Times New Roman"/>
          <w:b/>
          <w:sz w:val="28"/>
          <w:szCs w:val="28"/>
        </w:rPr>
        <w:t>須交由黨團協商</w:t>
      </w:r>
      <w:r w:rsidRPr="00702ECE">
        <w:rPr>
          <w:rFonts w:ascii="標楷體" w:eastAsia="標楷體" w:hAnsi="標楷體" w:cs="Times New Roman" w:hint="eastAsia"/>
          <w:b/>
          <w:sz w:val="28"/>
          <w:szCs w:val="28"/>
        </w:rPr>
        <w:t>；院會討論時，由莊</w:t>
      </w:r>
      <w:r w:rsidRPr="008B0B99">
        <w:rPr>
          <w:rFonts w:ascii="標楷體" w:eastAsia="標楷體" w:hAnsi="標楷體" w:cs="Times New Roman" w:hint="eastAsia"/>
          <w:b/>
          <w:sz w:val="28"/>
          <w:szCs w:val="28"/>
        </w:rPr>
        <w:t>召集委員</w:t>
      </w:r>
      <w:r w:rsidRPr="00702ECE">
        <w:rPr>
          <w:rFonts w:ascii="標楷體" w:eastAsia="標楷體" w:hAnsi="標楷體" w:cs="Times New Roman" w:hint="eastAsia"/>
          <w:b/>
          <w:sz w:val="28"/>
          <w:szCs w:val="28"/>
        </w:rPr>
        <w:t>瑞雄</w:t>
      </w:r>
      <w:r w:rsidRPr="008B0B99">
        <w:rPr>
          <w:rFonts w:ascii="標楷體" w:eastAsia="標楷體" w:hAnsi="標楷體" w:cs="Times New Roman" w:hint="eastAsia"/>
          <w:b/>
          <w:sz w:val="28"/>
          <w:szCs w:val="28"/>
        </w:rPr>
        <w:t>出席說明</w:t>
      </w:r>
      <w:r w:rsidRPr="008B0B99">
        <w:rPr>
          <w:rFonts w:ascii="標楷體" w:eastAsia="標楷體" w:hAnsi="標楷體" w:cs="Times New Roman"/>
          <w:b/>
          <w:sz w:val="28"/>
          <w:szCs w:val="28"/>
        </w:rPr>
        <w:t>。</w:t>
      </w:r>
    </w:p>
    <w:p w14:paraId="52E365B2" w14:textId="77777777" w:rsidR="00816707" w:rsidRPr="00816707" w:rsidRDefault="00816707" w:rsidP="00816707">
      <w:pPr>
        <w:adjustRightInd w:val="0"/>
        <w:snapToGrid w:val="0"/>
        <w:spacing w:beforeLines="30" w:before="108" w:line="410" w:lineRule="exact"/>
        <w:ind w:left="561" w:hangingChars="200" w:hanging="561"/>
        <w:jc w:val="both"/>
        <w:rPr>
          <w:rFonts w:ascii="標楷體" w:eastAsia="標楷體" w:hAnsi="標楷體"/>
          <w:b/>
          <w:bCs/>
          <w:sz w:val="28"/>
          <w:szCs w:val="28"/>
        </w:rPr>
      </w:pPr>
      <w:r w:rsidRPr="00816707">
        <w:rPr>
          <w:rFonts w:ascii="標楷體" w:eastAsia="標楷體" w:hAnsi="標楷體" w:cs="標楷體"/>
          <w:b/>
          <w:kern w:val="0"/>
          <w:sz w:val="28"/>
          <w:szCs w:val="28"/>
        </w:rPr>
        <w:t>5</w:t>
      </w:r>
      <w:r w:rsidRPr="00816707">
        <w:rPr>
          <w:rFonts w:ascii="標楷體" w:eastAsia="標楷體" w:hAnsi="標楷體" w:cs="標楷體" w:hint="eastAsia"/>
          <w:b/>
          <w:kern w:val="0"/>
          <w:sz w:val="28"/>
          <w:szCs w:val="28"/>
        </w:rPr>
        <w:t>月</w:t>
      </w:r>
      <w:r w:rsidRPr="00816707">
        <w:rPr>
          <w:rFonts w:ascii="標楷體" w:eastAsia="標楷體" w:hAnsi="標楷體" w:cs="標楷體"/>
          <w:b/>
          <w:kern w:val="0"/>
          <w:sz w:val="28"/>
          <w:szCs w:val="28"/>
        </w:rPr>
        <w:t>2</w:t>
      </w:r>
      <w:r w:rsidRPr="00816707">
        <w:rPr>
          <w:rFonts w:ascii="標楷體" w:eastAsia="標楷體" w:hAnsi="標楷體" w:cs="標楷體" w:hint="eastAsia"/>
          <w:b/>
          <w:kern w:val="0"/>
          <w:sz w:val="28"/>
          <w:szCs w:val="28"/>
        </w:rPr>
        <w:t>1日（星期四）</w:t>
      </w:r>
    </w:p>
    <w:p w14:paraId="0AC0BC4C" w14:textId="5C189F78" w:rsidR="00816707" w:rsidRDefault="00816707" w:rsidP="00816707">
      <w:pPr>
        <w:pStyle w:val="ac"/>
        <w:spacing w:beforeLines="30" w:before="108" w:line="410" w:lineRule="exact"/>
        <w:ind w:leftChars="0" w:left="0" w:rightChars="0" w:right="0" w:firstLineChars="398" w:firstLine="1115"/>
        <w:jc w:val="both"/>
        <w:rPr>
          <w:rFonts w:ascii="標楷體" w:hAnsi="標楷體"/>
          <w:b/>
          <w:sz w:val="28"/>
          <w:szCs w:val="28"/>
          <w:lang w:eastAsia="zh-TW"/>
        </w:rPr>
      </w:pPr>
      <w:r w:rsidRPr="00816707">
        <w:rPr>
          <w:rFonts w:ascii="標楷體" w:hAnsi="標楷體" w:hint="eastAsia"/>
          <w:b/>
          <w:sz w:val="28"/>
          <w:szCs w:val="28"/>
          <w:lang w:eastAsia="zh-TW"/>
        </w:rPr>
        <w:t>討論事項</w:t>
      </w:r>
    </w:p>
    <w:p w14:paraId="0E430806" w14:textId="6CB0E7F8" w:rsidR="00816707" w:rsidRPr="00F33271" w:rsidRDefault="00816707" w:rsidP="00816707">
      <w:pPr>
        <w:pStyle w:val="Default"/>
        <w:spacing w:line="360" w:lineRule="exact"/>
        <w:jc w:val="both"/>
        <w:rPr>
          <w:rFonts w:hAnsi="標楷體"/>
          <w:color w:val="auto"/>
          <w:sz w:val="28"/>
          <w:szCs w:val="28"/>
        </w:rPr>
      </w:pPr>
      <w:r w:rsidRPr="00F33271">
        <w:rPr>
          <w:rFonts w:hAnsi="標楷體" w:hint="eastAsia"/>
          <w:color w:val="auto"/>
          <w:sz w:val="28"/>
          <w:szCs w:val="28"/>
        </w:rPr>
        <w:t>審查</w:t>
      </w:r>
      <w:r>
        <w:rPr>
          <w:rFonts w:hAnsi="標楷體" w:hint="eastAsia"/>
          <w:color w:val="auto"/>
          <w:sz w:val="28"/>
          <w:szCs w:val="28"/>
        </w:rPr>
        <w:t>115</w:t>
      </w:r>
      <w:r w:rsidRPr="00F33271">
        <w:rPr>
          <w:rFonts w:hAnsi="標楷體" w:hint="eastAsia"/>
          <w:color w:val="auto"/>
          <w:sz w:val="28"/>
          <w:szCs w:val="28"/>
        </w:rPr>
        <w:t>年度中央政府總預算案關於總統府主管（不含中央研究院）收支部分。</w:t>
      </w:r>
    </w:p>
    <w:p w14:paraId="3C97930A" w14:textId="5176AE61" w:rsidR="00816707" w:rsidRPr="00F33271" w:rsidRDefault="00816707" w:rsidP="00816707">
      <w:pPr>
        <w:spacing w:beforeLines="10" w:before="36" w:line="360" w:lineRule="exact"/>
        <w:ind w:left="280" w:hangingChars="100" w:hanging="280"/>
        <w:jc w:val="both"/>
        <w:rPr>
          <w:rFonts w:ascii="標楷體" w:eastAsia="標楷體" w:hAnsi="標楷體" w:cs="Times New Roman"/>
          <w:sz w:val="28"/>
          <w:szCs w:val="28"/>
        </w:rPr>
      </w:pPr>
      <w:r w:rsidRPr="00F33271">
        <w:rPr>
          <w:rFonts w:ascii="標楷體" w:eastAsia="標楷體" w:hAnsi="標楷體" w:cs="Times New Roman" w:hint="eastAsia"/>
          <w:sz w:val="28"/>
          <w:szCs w:val="28"/>
        </w:rPr>
        <w:t>（本日會議有委員</w:t>
      </w:r>
      <w:r w:rsidR="00A25633" w:rsidRPr="00F33271">
        <w:rPr>
          <w:rFonts w:ascii="標楷體" w:eastAsia="標楷體" w:hAnsi="標楷體" w:cs="Times New Roman" w:hint="eastAsia"/>
          <w:sz w:val="28"/>
          <w:szCs w:val="28"/>
        </w:rPr>
        <w:t>沈發惠、</w:t>
      </w:r>
      <w:r w:rsidR="00A25633">
        <w:rPr>
          <w:rFonts w:ascii="標楷體" w:eastAsia="標楷體" w:hAnsi="標楷體" w:cs="Times New Roman" w:hint="eastAsia"/>
          <w:sz w:val="28"/>
          <w:szCs w:val="28"/>
        </w:rPr>
        <w:t>范雲</w:t>
      </w:r>
      <w:r w:rsidR="00A25633" w:rsidRPr="00F33271">
        <w:rPr>
          <w:rFonts w:ascii="標楷體" w:eastAsia="標楷體" w:hAnsi="標楷體" w:cs="Times New Roman" w:hint="eastAsia"/>
          <w:sz w:val="28"/>
          <w:szCs w:val="28"/>
        </w:rPr>
        <w:t>、莊瑞雄、</w:t>
      </w:r>
      <w:r w:rsidR="00A25633">
        <w:rPr>
          <w:rFonts w:ascii="標楷體" w:eastAsia="標楷體" w:hAnsi="標楷體" w:cs="Times New Roman" w:hint="eastAsia"/>
          <w:sz w:val="28"/>
          <w:szCs w:val="28"/>
        </w:rPr>
        <w:t>林倩綺</w:t>
      </w:r>
      <w:r w:rsidR="00A25633" w:rsidRPr="00F33271">
        <w:rPr>
          <w:rFonts w:ascii="標楷體" w:eastAsia="標楷體" w:hAnsi="標楷體" w:cs="Times New Roman" w:hint="eastAsia"/>
          <w:sz w:val="28"/>
          <w:szCs w:val="28"/>
        </w:rPr>
        <w:t>、</w:t>
      </w:r>
      <w:r w:rsidRPr="00F33271">
        <w:rPr>
          <w:rFonts w:ascii="標楷體" w:eastAsia="標楷體" w:hAnsi="標楷體" w:cs="Times New Roman" w:hint="eastAsia"/>
          <w:sz w:val="28"/>
          <w:szCs w:val="28"/>
        </w:rPr>
        <w:t>翁曉玲、</w:t>
      </w:r>
      <w:r w:rsidR="00A25633">
        <w:rPr>
          <w:rFonts w:ascii="標楷體" w:eastAsia="標楷體" w:hAnsi="標楷體" w:cs="Times New Roman" w:hint="eastAsia"/>
          <w:sz w:val="28"/>
          <w:szCs w:val="28"/>
        </w:rPr>
        <w:t>張雅琳</w:t>
      </w:r>
      <w:r w:rsidRPr="00F33271">
        <w:rPr>
          <w:rFonts w:ascii="標楷體" w:eastAsia="標楷體" w:hAnsi="標楷體" w:cs="Times New Roman" w:hint="eastAsia"/>
          <w:sz w:val="28"/>
          <w:szCs w:val="28"/>
        </w:rPr>
        <w:t>、</w:t>
      </w:r>
      <w:r w:rsidR="00A25633" w:rsidRPr="00F33271">
        <w:rPr>
          <w:rFonts w:ascii="標楷體" w:eastAsia="標楷體" w:hAnsi="標楷體" w:cs="Times New Roman" w:hint="eastAsia"/>
          <w:sz w:val="28"/>
          <w:szCs w:val="28"/>
        </w:rPr>
        <w:t>洪孟楷、</w:t>
      </w:r>
      <w:r w:rsidR="00A25633">
        <w:rPr>
          <w:rFonts w:ascii="標楷體" w:eastAsia="標楷體" w:hAnsi="標楷體" w:cs="Times New Roman" w:hint="eastAsia"/>
          <w:sz w:val="28"/>
          <w:szCs w:val="28"/>
        </w:rPr>
        <w:t>賴士葆</w:t>
      </w:r>
      <w:r w:rsidRPr="00F33271">
        <w:rPr>
          <w:rFonts w:ascii="標楷體" w:eastAsia="標楷體" w:hAnsi="標楷體" w:cs="Times New Roman" w:hint="eastAsia"/>
          <w:sz w:val="28"/>
          <w:szCs w:val="28"/>
        </w:rPr>
        <w:t>提出質詢</w:t>
      </w:r>
      <w:r w:rsidR="00A25633" w:rsidRPr="00A25633">
        <w:rPr>
          <w:rFonts w:ascii="標楷體" w:eastAsia="標楷體" w:hAnsi="標楷體" w:cs="Times New Roman" w:hint="eastAsia"/>
          <w:sz w:val="28"/>
          <w:szCs w:val="28"/>
        </w:rPr>
        <w:t>；委員</w:t>
      </w:r>
      <w:r w:rsidR="00A25633">
        <w:rPr>
          <w:rFonts w:ascii="標楷體" w:eastAsia="標楷體" w:hAnsi="標楷體" w:cs="Times New Roman" w:hint="eastAsia"/>
          <w:sz w:val="28"/>
          <w:szCs w:val="28"/>
        </w:rPr>
        <w:t>蔡其昌提出書面質詢</w:t>
      </w:r>
      <w:r w:rsidRPr="00F33271">
        <w:rPr>
          <w:rFonts w:ascii="標楷體" w:eastAsia="標楷體" w:hAnsi="標楷體" w:cs="Times New Roman" w:hint="eastAsia"/>
          <w:sz w:val="28"/>
          <w:szCs w:val="28"/>
        </w:rPr>
        <w:t>。）</w:t>
      </w:r>
    </w:p>
    <w:p w14:paraId="1DF0BDB4" w14:textId="77777777" w:rsidR="00816707" w:rsidRPr="00F33271" w:rsidRDefault="00816707" w:rsidP="00816707">
      <w:pPr>
        <w:pStyle w:val="Default"/>
        <w:spacing w:line="360" w:lineRule="exact"/>
        <w:ind w:left="846" w:hangingChars="302" w:hanging="846"/>
        <w:rPr>
          <w:rFonts w:hAnsi="標楷體"/>
          <w:color w:val="auto"/>
          <w:sz w:val="28"/>
          <w:szCs w:val="28"/>
        </w:rPr>
      </w:pPr>
      <w:r w:rsidRPr="00F33271">
        <w:rPr>
          <w:rFonts w:hAnsi="標楷體" w:hint="eastAsia"/>
          <w:color w:val="auto"/>
          <w:sz w:val="28"/>
          <w:szCs w:val="28"/>
        </w:rPr>
        <w:t>決議：</w:t>
      </w:r>
    </w:p>
    <w:p w14:paraId="37AA586A" w14:textId="77777777" w:rsidR="00816707" w:rsidRPr="00F33271" w:rsidRDefault="00816707" w:rsidP="00816707">
      <w:pPr>
        <w:spacing w:line="360" w:lineRule="exact"/>
        <w:contextualSpacing/>
        <w:jc w:val="both"/>
        <w:rPr>
          <w:rFonts w:ascii="標楷體" w:eastAsia="標楷體" w:hAnsi="標楷體"/>
          <w:sz w:val="28"/>
          <w:szCs w:val="28"/>
        </w:rPr>
      </w:pPr>
      <w:r w:rsidRPr="00F33271">
        <w:rPr>
          <w:rFonts w:ascii="標楷體" w:eastAsia="標楷體" w:hAnsi="標楷體" w:hint="eastAsia"/>
          <w:sz w:val="28"/>
          <w:szCs w:val="28"/>
        </w:rPr>
        <w:t>一、報告及詢答完畢。</w:t>
      </w:r>
    </w:p>
    <w:p w14:paraId="37AAAE9D" w14:textId="4766C807" w:rsidR="00816707" w:rsidRDefault="00816707" w:rsidP="00816707">
      <w:pPr>
        <w:spacing w:line="360" w:lineRule="exact"/>
        <w:ind w:left="504" w:hangingChars="180" w:hanging="504"/>
        <w:contextualSpacing/>
        <w:jc w:val="both"/>
        <w:rPr>
          <w:rFonts w:ascii="標楷體" w:hAnsi="標楷體"/>
          <w:b/>
          <w:sz w:val="28"/>
          <w:szCs w:val="28"/>
        </w:rPr>
      </w:pPr>
      <w:r w:rsidRPr="00F33271">
        <w:rPr>
          <w:rFonts w:ascii="標楷體" w:eastAsia="標楷體" w:hAnsi="標楷體" w:cs="Times New Roman" w:hint="eastAsia"/>
          <w:b/>
          <w:kern w:val="0"/>
          <w:sz w:val="28"/>
          <w:szCs w:val="28"/>
        </w:rPr>
        <w:t>二、</w:t>
      </w:r>
      <w:bookmarkStart w:id="38" w:name="歲入部分"/>
      <w:bookmarkEnd w:id="38"/>
      <w:r>
        <w:rPr>
          <w:rFonts w:ascii="標楷體" w:eastAsia="標楷體" w:hAnsi="標楷體" w:cs="Times New Roman" w:hint="eastAsia"/>
          <w:b/>
          <w:kern w:val="0"/>
          <w:sz w:val="28"/>
          <w:szCs w:val="28"/>
        </w:rPr>
        <w:t>115</w:t>
      </w:r>
      <w:r w:rsidRPr="00F33271">
        <w:rPr>
          <w:rFonts w:ascii="標楷體" w:eastAsia="標楷體" w:hAnsi="標楷體" w:cs="Times New Roman" w:hint="eastAsia"/>
          <w:b/>
          <w:kern w:val="0"/>
          <w:sz w:val="28"/>
          <w:szCs w:val="28"/>
        </w:rPr>
        <w:t>年度中央政府總預算案關於總統府主管（不含中央研究院）收支部分：</w:t>
      </w:r>
    </w:p>
    <w:p w14:paraId="2E654CBA" w14:textId="17667FD5" w:rsidR="00816707" w:rsidRDefault="00816707" w:rsidP="00816707">
      <w:pPr>
        <w:snapToGrid w:val="0"/>
        <w:rPr>
          <w:rFonts w:ascii="標楷體" w:eastAsia="標楷體" w:hAnsi="標楷體"/>
          <w:color w:val="000000"/>
          <w:sz w:val="28"/>
          <w:szCs w:val="28"/>
        </w:rPr>
      </w:pPr>
      <w:r w:rsidRPr="00816707">
        <w:rPr>
          <w:rFonts w:ascii="標楷體" w:eastAsia="標楷體" w:hAnsi="標楷體" w:hint="eastAsia"/>
          <w:b/>
          <w:sz w:val="28"/>
          <w:szCs w:val="28"/>
        </w:rPr>
        <w:t>(一)</w:t>
      </w:r>
      <w:r w:rsidRPr="00816707">
        <w:rPr>
          <w:rFonts w:ascii="標楷體" w:eastAsia="標楷體" w:hAnsi="標楷體"/>
          <w:b/>
          <w:sz w:val="28"/>
          <w:szCs w:val="28"/>
        </w:rPr>
        <w:t>歲入部分</w:t>
      </w:r>
    </w:p>
    <w:p w14:paraId="7F3D45D2" w14:textId="77777777" w:rsidR="00816707" w:rsidRDefault="00816707" w:rsidP="00816707">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第2款 罰款及賠償收入</w:t>
      </w:r>
    </w:p>
    <w:p w14:paraId="6CAC89B7"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第1項 總統府，無列數。</w:t>
      </w:r>
    </w:p>
    <w:p w14:paraId="322C1835"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第2項 國史館，無列數。</w:t>
      </w:r>
    </w:p>
    <w:p w14:paraId="60A9844A"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第3項 國史館臺灣文獻館，無列數。</w:t>
      </w:r>
    </w:p>
    <w:p w14:paraId="6244FF52" w14:textId="77777777" w:rsidR="00816707" w:rsidRDefault="00816707" w:rsidP="00816707">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第3款 規費收入</w:t>
      </w:r>
    </w:p>
    <w:p w14:paraId="0C03D0F9"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第1項 總統府1千元，照列。</w:t>
      </w:r>
    </w:p>
    <w:p w14:paraId="09748E51"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第2項 國史館30萬元，照列。</w:t>
      </w:r>
    </w:p>
    <w:p w14:paraId="57847332" w14:textId="69D3D493"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第3項 國史館臺灣文獻館31萬3千元，照列。</w:t>
      </w:r>
    </w:p>
    <w:p w14:paraId="7E8F0A67" w14:textId="3D033697" w:rsidR="00D05808" w:rsidRDefault="00D05808" w:rsidP="00816707">
      <w:pPr>
        <w:snapToGrid w:val="0"/>
        <w:ind w:leftChars="150" w:left="360"/>
        <w:rPr>
          <w:rFonts w:ascii="標楷體" w:eastAsia="標楷體" w:hAnsi="標楷體" w:cs="Times New Roman"/>
          <w:b/>
          <w:color w:val="000000"/>
          <w:sz w:val="28"/>
          <w:szCs w:val="28"/>
        </w:rPr>
      </w:pPr>
      <w:r w:rsidRPr="00D05808">
        <w:rPr>
          <w:rFonts w:ascii="標楷體" w:eastAsia="標楷體" w:hAnsi="標楷體" w:cs="Times New Roman"/>
          <w:b/>
          <w:color w:val="000000"/>
          <w:sz w:val="28"/>
          <w:szCs w:val="28"/>
        </w:rPr>
        <w:t>本項通過決議</w:t>
      </w:r>
      <w:r>
        <w:rPr>
          <w:rFonts w:ascii="標楷體" w:eastAsia="標楷體" w:hAnsi="標楷體" w:cs="Times New Roman"/>
          <w:b/>
          <w:color w:val="000000"/>
          <w:sz w:val="28"/>
          <w:szCs w:val="28"/>
        </w:rPr>
        <w:t>1</w:t>
      </w:r>
      <w:r w:rsidRPr="00D05808">
        <w:rPr>
          <w:rFonts w:ascii="標楷體" w:eastAsia="標楷體" w:hAnsi="標楷體" w:cs="Times New Roman"/>
          <w:b/>
          <w:color w:val="000000"/>
          <w:sz w:val="28"/>
          <w:szCs w:val="28"/>
        </w:rPr>
        <w:t>項：</w:t>
      </w:r>
    </w:p>
    <w:p w14:paraId="0A128A6B" w14:textId="267D9DE6" w:rsidR="006D7CFF" w:rsidRDefault="006D7CFF" w:rsidP="00BF5B2C">
      <w:pPr>
        <w:pStyle w:val="a"/>
        <w:numPr>
          <w:ilvl w:val="0"/>
          <w:numId w:val="28"/>
        </w:numPr>
      </w:pPr>
      <w:r>
        <w:rPr>
          <w:rFonts w:hint="eastAsia"/>
        </w:rPr>
        <w:t>1</w:t>
      </w:r>
      <w:r>
        <w:t>15</w:t>
      </w:r>
      <w:r>
        <w:rPr>
          <w:rFonts w:hint="eastAsia"/>
        </w:rPr>
        <w:t>年度國史館臺灣文獻館</w:t>
      </w:r>
      <w:r w:rsidR="00B548DB">
        <w:rPr>
          <w:rFonts w:hint="eastAsia"/>
        </w:rPr>
        <w:t>歲入來源別</w:t>
      </w:r>
      <w:r>
        <w:rPr>
          <w:rFonts w:hint="eastAsia"/>
        </w:rPr>
        <w:t>預算編列1</w:t>
      </w:r>
      <w:r>
        <w:t>15</w:t>
      </w:r>
      <w:r>
        <w:rPr>
          <w:rFonts w:hint="eastAsia"/>
        </w:rPr>
        <w:t>萬7千元。</w:t>
      </w:r>
    </w:p>
    <w:p w14:paraId="2E9B587E" w14:textId="6AFF29DF" w:rsidR="00681A71" w:rsidRPr="005A1BD6" w:rsidRDefault="006D7CFF" w:rsidP="00681A71">
      <w:pPr>
        <w:pStyle w:val="10"/>
      </w:pPr>
      <w:r w:rsidRPr="005A1BD6">
        <w:lastRenderedPageBreak/>
        <w:t>115</w:t>
      </w:r>
      <w:r w:rsidRPr="005A1BD6">
        <w:rPr>
          <w:rFonts w:hint="eastAsia"/>
        </w:rPr>
        <w:t>年度國史館臺灣文獻館</w:t>
      </w:r>
      <w:r w:rsidR="00B548DB" w:rsidRPr="005A1BD6">
        <w:rPr>
          <w:rFonts w:hint="eastAsia"/>
        </w:rPr>
        <w:t>歲入</w:t>
      </w:r>
      <w:r w:rsidRPr="005A1BD6">
        <w:rPr>
          <w:rFonts w:hint="eastAsia"/>
        </w:rPr>
        <w:t>預算於</w:t>
      </w:r>
      <w:r w:rsidR="00B548DB" w:rsidRPr="005A1BD6">
        <w:rPr>
          <w:rFonts w:hint="eastAsia"/>
        </w:rPr>
        <w:t>第1目</w:t>
      </w:r>
      <w:r w:rsidRPr="005A1BD6">
        <w:rPr>
          <w:rFonts w:hint="eastAsia"/>
        </w:rPr>
        <w:t>「使用規費收入」</w:t>
      </w:r>
      <w:r w:rsidR="00B548DB" w:rsidRPr="005A1BD6">
        <w:rPr>
          <w:rFonts w:hint="eastAsia"/>
        </w:rPr>
        <w:t>第2節</w:t>
      </w:r>
      <w:r w:rsidRPr="005A1BD6">
        <w:rPr>
          <w:rFonts w:hint="eastAsia"/>
        </w:rPr>
        <w:t>「</w:t>
      </w:r>
      <w:r w:rsidR="00BB7C96">
        <w:rPr>
          <w:rFonts w:hint="eastAsia"/>
        </w:rPr>
        <w:t>場地設施使用費」</w:t>
      </w:r>
      <w:r w:rsidRPr="005A1BD6">
        <w:rPr>
          <w:rFonts w:hint="eastAsia"/>
        </w:rPr>
        <w:t>編列5萬元，係就該館特展室及簡報室等場地使用收入編列。</w:t>
      </w:r>
      <w:r w:rsidR="00597339" w:rsidRPr="005A1BD6">
        <w:rPr>
          <w:rFonts w:hint="eastAsia"/>
        </w:rPr>
        <w:t>根據立法院預算中心</w:t>
      </w:r>
      <w:r w:rsidR="00B548DB" w:rsidRPr="005A1BD6">
        <w:rPr>
          <w:rFonts w:hint="eastAsia"/>
        </w:rPr>
        <w:t>評估</w:t>
      </w:r>
      <w:r w:rsidR="00597339" w:rsidRPr="005A1BD6">
        <w:rPr>
          <w:rFonts w:hint="eastAsia"/>
        </w:rPr>
        <w:t>報告顯示，查該館111至113年度「場地設施使用費」</w:t>
      </w:r>
      <w:r w:rsidR="005D5AA7" w:rsidRPr="005A1BD6">
        <w:rPr>
          <w:rFonts w:hint="eastAsia"/>
        </w:rPr>
        <w:t>決算數分別為1</w:t>
      </w:r>
      <w:r w:rsidR="005D5AA7" w:rsidRPr="005A1BD6">
        <w:t>6</w:t>
      </w:r>
      <w:r w:rsidR="005D5AA7" w:rsidRPr="005A1BD6">
        <w:rPr>
          <w:rFonts w:hint="eastAsia"/>
        </w:rPr>
        <w:t>萬9</w:t>
      </w:r>
      <w:r w:rsidR="004A27F4" w:rsidRPr="005A1BD6">
        <w:rPr>
          <w:rFonts w:hint="eastAsia"/>
        </w:rPr>
        <w:t>千元</w:t>
      </w:r>
      <w:r w:rsidR="005D5AA7" w:rsidRPr="005A1BD6">
        <w:rPr>
          <w:rFonts w:hint="eastAsia"/>
        </w:rPr>
        <w:t>、2</w:t>
      </w:r>
      <w:r w:rsidR="005D5AA7" w:rsidRPr="005A1BD6">
        <w:t>0</w:t>
      </w:r>
      <w:r w:rsidR="005D5AA7" w:rsidRPr="005A1BD6">
        <w:rPr>
          <w:rFonts w:hint="eastAsia"/>
        </w:rPr>
        <w:t>萬8千元及31萬9千元，呈逐年成長趨勢，顯示場地開放使用已有一定需求及活化成效。</w:t>
      </w:r>
      <w:r w:rsidR="00681A71" w:rsidRPr="005A1BD6">
        <w:rPr>
          <w:rFonts w:hint="eastAsia"/>
        </w:rPr>
        <w:t>然115年度預算案仍僅編列5萬元，明顯低於近年實際收入，恐未能覈實反映場地營運及資源活化情形。</w:t>
      </w:r>
    </w:p>
    <w:p w14:paraId="5A226627" w14:textId="7CE70C7A" w:rsidR="006D7CFF" w:rsidRDefault="00681A71" w:rsidP="00681A71">
      <w:pPr>
        <w:pStyle w:val="10"/>
      </w:pPr>
      <w:r w:rsidRPr="005A1BD6">
        <w:rPr>
          <w:rFonts w:hint="eastAsia"/>
        </w:rPr>
        <w:t>為提升預算編列精確度，並合理反映場地設施使用收入，爰建議國史館臺灣文獻館</w:t>
      </w:r>
      <w:r w:rsidR="003F5FC4" w:rsidRPr="005A1BD6">
        <w:rPr>
          <w:rFonts w:hint="eastAsia"/>
        </w:rPr>
        <w:t>應</w:t>
      </w:r>
      <w:r w:rsidR="00B548DB" w:rsidRPr="005A1BD6">
        <w:rPr>
          <w:rFonts w:hint="eastAsia"/>
        </w:rPr>
        <w:t>積極辦理場地外借，並研擬空間活化計畫，以增加國庫收入，</w:t>
      </w:r>
      <w:r w:rsidRPr="005A1BD6">
        <w:rPr>
          <w:rFonts w:hint="eastAsia"/>
        </w:rPr>
        <w:t>於2個月</w:t>
      </w:r>
      <w:r w:rsidR="00B548DB" w:rsidRPr="005A1BD6">
        <w:rPr>
          <w:rFonts w:hint="eastAsia"/>
        </w:rPr>
        <w:t>內</w:t>
      </w:r>
      <w:r w:rsidRPr="005A1BD6">
        <w:rPr>
          <w:rFonts w:hint="eastAsia"/>
        </w:rPr>
        <w:t>提交書面報告</w:t>
      </w:r>
      <w:r w:rsidR="003F5FC4" w:rsidRPr="005A1BD6">
        <w:rPr>
          <w:rFonts w:hint="eastAsia"/>
        </w:rPr>
        <w:t>至立法院司法及法制委員會。</w:t>
      </w:r>
      <w:r w:rsidR="006D7CFF" w:rsidRPr="005A214C">
        <w:t>【1】</w:t>
      </w:r>
    </w:p>
    <w:p w14:paraId="74B5CBB1" w14:textId="03ABAC85" w:rsidR="006D7CFF" w:rsidRDefault="006D7CFF" w:rsidP="006D7CFF">
      <w:pPr>
        <w:pStyle w:val="21"/>
      </w:pPr>
      <w:r>
        <w:t>提案人：</w:t>
      </w:r>
      <w:r>
        <w:rPr>
          <w:rFonts w:hint="eastAsia"/>
        </w:rPr>
        <w:t>張雅琳</w:t>
      </w:r>
    </w:p>
    <w:p w14:paraId="3F52261C" w14:textId="695AB62C" w:rsidR="00D05808" w:rsidRDefault="006D7CFF" w:rsidP="006D7CFF">
      <w:pPr>
        <w:pStyle w:val="21"/>
      </w:pPr>
      <w:r>
        <w:t>連署人：</w:t>
      </w:r>
      <w:r>
        <w:rPr>
          <w:rFonts w:hint="eastAsia"/>
        </w:rPr>
        <w:t>沈發惠</w:t>
      </w:r>
      <w:r>
        <w:t xml:space="preserve">　</w:t>
      </w:r>
      <w:r>
        <w:rPr>
          <w:rFonts w:hint="eastAsia"/>
        </w:rPr>
        <w:t>莊瑞雄</w:t>
      </w:r>
    </w:p>
    <w:p w14:paraId="0F4420BB" w14:textId="77777777" w:rsidR="00816707" w:rsidRDefault="00816707" w:rsidP="00816707">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第4款 財產收入</w:t>
      </w:r>
    </w:p>
    <w:p w14:paraId="43A85810"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第1項 總統府225萬元，照列。</w:t>
      </w:r>
    </w:p>
    <w:p w14:paraId="2C472525"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第2項 國家安全會議5千元，照列。</w:t>
      </w:r>
    </w:p>
    <w:p w14:paraId="4068D349"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第3項 國史館46萬元，照列。</w:t>
      </w:r>
    </w:p>
    <w:p w14:paraId="107E5F01"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第4項 國史館臺灣文獻館12萬1千元，照列。</w:t>
      </w:r>
    </w:p>
    <w:p w14:paraId="5B0F67C7" w14:textId="77777777" w:rsidR="00816707" w:rsidRDefault="00816707" w:rsidP="00816707">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第7款 其他收入</w:t>
      </w:r>
    </w:p>
    <w:p w14:paraId="790D22E4"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第1項 總統府33萬7千元，照列。</w:t>
      </w:r>
    </w:p>
    <w:p w14:paraId="080090B9"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第2項 國家安全會議1萬8千元，照列。</w:t>
      </w:r>
    </w:p>
    <w:p w14:paraId="18BCC17B"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第3項 國史館50萬元，照列。</w:t>
      </w:r>
    </w:p>
    <w:p w14:paraId="1C574EF9" w14:textId="77777777" w:rsidR="00816707" w:rsidRDefault="00816707" w:rsidP="00816707">
      <w:pPr>
        <w:snapToGrid w:val="0"/>
        <w:ind w:leftChars="150" w:left="360"/>
        <w:rPr>
          <w:rFonts w:ascii="標楷體" w:eastAsia="標楷體" w:hAnsi="標楷體"/>
          <w:color w:val="000000"/>
          <w:sz w:val="28"/>
          <w:szCs w:val="28"/>
        </w:rPr>
      </w:pPr>
      <w:r>
        <w:rPr>
          <w:rFonts w:ascii="標楷體" w:eastAsia="標楷體" w:hAnsi="標楷體"/>
          <w:color w:val="000000"/>
          <w:sz w:val="28"/>
          <w:szCs w:val="28"/>
        </w:rPr>
        <w:t>第4項 國史館臺灣文獻館72萬3千元，照列。</w:t>
      </w:r>
    </w:p>
    <w:p w14:paraId="5C7D5E47" w14:textId="04DBCC45" w:rsidR="00816707" w:rsidRPr="00816707" w:rsidRDefault="00816707" w:rsidP="00816707">
      <w:pPr>
        <w:snapToGrid w:val="0"/>
        <w:rPr>
          <w:rFonts w:ascii="標楷體" w:eastAsia="標楷體" w:hAnsi="標楷體"/>
          <w:sz w:val="28"/>
          <w:szCs w:val="28"/>
        </w:rPr>
      </w:pPr>
      <w:r w:rsidRPr="00816707">
        <w:rPr>
          <w:rFonts w:ascii="標楷體" w:eastAsia="標楷體" w:hAnsi="標楷體" w:hint="eastAsia"/>
          <w:b/>
          <w:sz w:val="28"/>
          <w:szCs w:val="28"/>
        </w:rPr>
        <w:t>(二)</w:t>
      </w:r>
      <w:r w:rsidRPr="00816707">
        <w:rPr>
          <w:rFonts w:ascii="標楷體" w:eastAsia="標楷體" w:hAnsi="標楷體"/>
          <w:b/>
          <w:sz w:val="28"/>
          <w:szCs w:val="28"/>
        </w:rPr>
        <w:t>歲出部分</w:t>
      </w:r>
    </w:p>
    <w:p w14:paraId="5096AFFF" w14:textId="77777777" w:rsidR="00816707" w:rsidRDefault="00816707" w:rsidP="00816707">
      <w:pPr>
        <w:snapToGrid w:val="0"/>
        <w:ind w:leftChars="50" w:left="120"/>
        <w:rPr>
          <w:rFonts w:ascii="標楷體" w:eastAsia="標楷體" w:hAnsi="標楷體"/>
          <w:color w:val="000000"/>
          <w:sz w:val="28"/>
          <w:szCs w:val="28"/>
        </w:rPr>
      </w:pPr>
      <w:r>
        <w:rPr>
          <w:rFonts w:ascii="標楷體" w:eastAsia="標楷體" w:hAnsi="標楷體"/>
          <w:b/>
          <w:color w:val="000000"/>
          <w:sz w:val="28"/>
          <w:szCs w:val="28"/>
        </w:rPr>
        <w:t>第1款 總統府主管</w:t>
      </w:r>
    </w:p>
    <w:p w14:paraId="4CAC7B00" w14:textId="5BFBAA07" w:rsidR="00816707" w:rsidRDefault="00816707" w:rsidP="00890645">
      <w:pPr>
        <w:snapToGrid w:val="0"/>
        <w:ind w:leftChars="150" w:left="1200" w:hangingChars="300" w:hanging="840"/>
        <w:jc w:val="both"/>
        <w:rPr>
          <w:rFonts w:ascii="標楷體" w:eastAsia="標楷體" w:hAnsi="標楷體"/>
          <w:color w:val="000000"/>
          <w:sz w:val="28"/>
          <w:szCs w:val="28"/>
        </w:rPr>
      </w:pPr>
      <w:r w:rsidRPr="00890645">
        <w:rPr>
          <w:rFonts w:ascii="標楷體" w:eastAsia="標楷體" w:hAnsi="標楷體"/>
          <w:color w:val="000000"/>
          <w:sz w:val="28"/>
          <w:szCs w:val="28"/>
        </w:rPr>
        <w:t>第1項 總統府</w:t>
      </w:r>
      <w:r w:rsidR="005A2FA4">
        <w:rPr>
          <w:rFonts w:ascii="標楷體" w:eastAsia="標楷體" w:hAnsi="標楷體" w:hint="eastAsia"/>
          <w:color w:val="000000"/>
          <w:sz w:val="28"/>
          <w:szCs w:val="28"/>
        </w:rPr>
        <w:t>原列</w:t>
      </w:r>
      <w:r w:rsidRPr="00890645">
        <w:rPr>
          <w:rFonts w:ascii="標楷體" w:eastAsia="標楷體" w:hAnsi="標楷體"/>
          <w:color w:val="000000"/>
          <w:sz w:val="28"/>
          <w:szCs w:val="28"/>
        </w:rPr>
        <w:t>11億6,381萬1千元，</w:t>
      </w:r>
      <w:r w:rsidR="00E35069">
        <w:rPr>
          <w:rFonts w:ascii="標楷體" w:eastAsia="標楷體" w:hAnsi="標楷體" w:hint="eastAsia"/>
          <w:color w:val="000000"/>
          <w:sz w:val="28"/>
          <w:szCs w:val="28"/>
        </w:rPr>
        <w:t>減列：</w:t>
      </w:r>
    </w:p>
    <w:p w14:paraId="5829B28C" w14:textId="30C6054B" w:rsidR="00E35069" w:rsidRDefault="00E35069"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(一)「業務費」</w:t>
      </w:r>
      <w:r w:rsidR="00D50ECF">
        <w:rPr>
          <w:rFonts w:ascii="標楷體" w:eastAsia="標楷體" w:hAnsi="標楷體" w:hint="eastAsia"/>
          <w:color w:val="000000"/>
          <w:sz w:val="28"/>
          <w:szCs w:val="28"/>
        </w:rPr>
        <w:t>項下</w:t>
      </w:r>
      <w:r w:rsidR="00D50ECF" w:rsidRPr="00E35069">
        <w:rPr>
          <w:rFonts w:ascii="標楷體" w:eastAsia="標楷體" w:hAnsi="標楷體"/>
          <w:color w:val="000000"/>
          <w:sz w:val="28"/>
          <w:szCs w:val="28"/>
        </w:rPr>
        <w:t>「</w:t>
      </w:r>
      <w:r w:rsidR="00D50ECF">
        <w:rPr>
          <w:rFonts w:ascii="標楷體" w:eastAsia="標楷體" w:hAnsi="標楷體" w:hint="eastAsia"/>
          <w:color w:val="000000"/>
          <w:sz w:val="28"/>
          <w:szCs w:val="28"/>
        </w:rPr>
        <w:t>教育訓練費</w:t>
      </w:r>
      <w:r w:rsidR="00D50ECF" w:rsidRPr="00E35069">
        <w:rPr>
          <w:rFonts w:ascii="標楷體" w:eastAsia="標楷體" w:hAnsi="標楷體"/>
          <w:color w:val="000000"/>
          <w:sz w:val="28"/>
          <w:szCs w:val="28"/>
        </w:rPr>
        <w:t>」</w:t>
      </w:r>
      <w:r w:rsidR="00D50ECF">
        <w:rPr>
          <w:rFonts w:ascii="標楷體" w:eastAsia="標楷體" w:hAnsi="標楷體"/>
          <w:color w:val="000000"/>
          <w:sz w:val="28"/>
          <w:szCs w:val="28"/>
        </w:rPr>
        <w:t>5</w:t>
      </w:r>
      <w:r>
        <w:rPr>
          <w:rFonts w:ascii="標楷體" w:eastAsia="標楷體" w:hAnsi="標楷體"/>
          <w:color w:val="000000"/>
          <w:sz w:val="28"/>
          <w:szCs w:val="28"/>
        </w:rPr>
        <w:t>0</w:t>
      </w:r>
      <w:r>
        <w:rPr>
          <w:rFonts w:ascii="標楷體" w:eastAsia="標楷體" w:hAnsi="標楷體" w:hint="eastAsia"/>
          <w:color w:val="000000"/>
          <w:sz w:val="28"/>
          <w:szCs w:val="28"/>
        </w:rPr>
        <w:t>萬元</w:t>
      </w:r>
      <w:r>
        <w:rPr>
          <w:rFonts w:ascii="標楷體" w:eastAsia="標楷體" w:hAnsi="標楷體"/>
          <w:color w:val="000000"/>
          <w:sz w:val="28"/>
          <w:szCs w:val="28"/>
        </w:rPr>
        <w:t>。</w:t>
      </w:r>
      <w:r>
        <w:rPr>
          <w:rFonts w:ascii="標楷體" w:eastAsia="標楷體" w:hAnsi="標楷體" w:hint="eastAsia"/>
          <w:color w:val="000000"/>
          <w:sz w:val="28"/>
          <w:szCs w:val="28"/>
        </w:rPr>
        <w:t>【2】</w:t>
      </w:r>
    </w:p>
    <w:p w14:paraId="37C5D3B5" w14:textId="26EB36EF" w:rsidR="00D50ECF" w:rsidRDefault="00D50ECF"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(二)「業務費」項下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水電費</w:t>
      </w:r>
      <w:r w:rsidRPr="00E35069">
        <w:rPr>
          <w:rFonts w:ascii="標楷體" w:eastAsia="標楷體" w:hAnsi="標楷體"/>
          <w:color w:val="000000"/>
          <w:sz w:val="28"/>
          <w:szCs w:val="28"/>
        </w:rPr>
        <w:t>」</w:t>
      </w:r>
      <w:r>
        <w:rPr>
          <w:rFonts w:ascii="標楷體" w:eastAsia="標楷體" w:hAnsi="標楷體" w:hint="eastAsia"/>
          <w:color w:val="000000"/>
          <w:sz w:val="28"/>
          <w:szCs w:val="28"/>
        </w:rPr>
        <w:t>100萬元</w:t>
      </w:r>
      <w:r>
        <w:rPr>
          <w:rFonts w:ascii="標楷體" w:eastAsia="標楷體" w:hAnsi="標楷體"/>
          <w:color w:val="000000"/>
          <w:sz w:val="28"/>
          <w:szCs w:val="28"/>
        </w:rPr>
        <w:t>。</w:t>
      </w:r>
      <w:r>
        <w:rPr>
          <w:rFonts w:ascii="標楷體" w:eastAsia="標楷體" w:hAnsi="標楷體" w:hint="eastAsia"/>
          <w:color w:val="000000"/>
          <w:sz w:val="28"/>
          <w:szCs w:val="28"/>
        </w:rPr>
        <w:t>【3】</w:t>
      </w:r>
    </w:p>
    <w:p w14:paraId="28A727D9" w14:textId="01B9E1A8"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(三)「業務費」項下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通訊費</w:t>
      </w:r>
      <w:r w:rsidRPr="00E35069">
        <w:rPr>
          <w:rFonts w:ascii="標楷體" w:eastAsia="標楷體" w:hAnsi="標楷體"/>
          <w:color w:val="000000"/>
          <w:sz w:val="28"/>
          <w:szCs w:val="28"/>
        </w:rPr>
        <w:t>」</w:t>
      </w:r>
      <w:r>
        <w:rPr>
          <w:rFonts w:ascii="標楷體" w:eastAsia="標楷體" w:hAnsi="標楷體" w:hint="eastAsia"/>
          <w:color w:val="000000"/>
          <w:sz w:val="28"/>
          <w:szCs w:val="28"/>
        </w:rPr>
        <w:t>1</w:t>
      </w:r>
      <w:r>
        <w:rPr>
          <w:rFonts w:ascii="標楷體" w:eastAsia="標楷體" w:hAnsi="標楷體"/>
          <w:color w:val="000000"/>
          <w:sz w:val="28"/>
          <w:szCs w:val="28"/>
        </w:rPr>
        <w:t>0</w:t>
      </w:r>
      <w:r>
        <w:rPr>
          <w:rFonts w:ascii="標楷體" w:eastAsia="標楷體" w:hAnsi="標楷體" w:hint="eastAsia"/>
          <w:color w:val="000000"/>
          <w:sz w:val="28"/>
          <w:szCs w:val="28"/>
        </w:rPr>
        <w:t>萬元</w:t>
      </w:r>
      <w:r>
        <w:rPr>
          <w:rFonts w:ascii="標楷體" w:eastAsia="標楷體" w:hAnsi="標楷體"/>
          <w:color w:val="000000"/>
          <w:sz w:val="28"/>
          <w:szCs w:val="28"/>
        </w:rPr>
        <w:t>。</w:t>
      </w:r>
      <w:r>
        <w:rPr>
          <w:rFonts w:ascii="標楷體" w:eastAsia="標楷體" w:hAnsi="標楷體" w:hint="eastAsia"/>
          <w:color w:val="000000"/>
          <w:sz w:val="28"/>
          <w:szCs w:val="28"/>
        </w:rPr>
        <w:t>【4】</w:t>
      </w:r>
    </w:p>
    <w:p w14:paraId="53129B8F" w14:textId="22BC1D59"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(四)「業務費」項下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約用人員酬金</w:t>
      </w:r>
      <w:r w:rsidRPr="00E35069">
        <w:rPr>
          <w:rFonts w:ascii="標楷體" w:eastAsia="標楷體" w:hAnsi="標楷體"/>
          <w:color w:val="000000"/>
          <w:sz w:val="28"/>
          <w:szCs w:val="28"/>
        </w:rPr>
        <w:t>」</w:t>
      </w:r>
      <w:r>
        <w:rPr>
          <w:rFonts w:ascii="標楷體" w:eastAsia="標楷體" w:hAnsi="標楷體" w:hint="eastAsia"/>
          <w:color w:val="000000"/>
          <w:sz w:val="28"/>
          <w:szCs w:val="28"/>
        </w:rPr>
        <w:t>1</w:t>
      </w:r>
      <w:r>
        <w:rPr>
          <w:rFonts w:ascii="標楷體" w:eastAsia="標楷體" w:hAnsi="標楷體"/>
          <w:color w:val="000000"/>
          <w:sz w:val="28"/>
          <w:szCs w:val="28"/>
        </w:rPr>
        <w:t>0</w:t>
      </w:r>
      <w:r>
        <w:rPr>
          <w:rFonts w:ascii="標楷體" w:eastAsia="標楷體" w:hAnsi="標楷體" w:hint="eastAsia"/>
          <w:color w:val="000000"/>
          <w:sz w:val="28"/>
          <w:szCs w:val="28"/>
        </w:rPr>
        <w:t>萬元</w:t>
      </w:r>
      <w:r>
        <w:rPr>
          <w:rFonts w:ascii="標楷體" w:eastAsia="標楷體" w:hAnsi="標楷體"/>
          <w:color w:val="000000"/>
          <w:sz w:val="28"/>
          <w:szCs w:val="28"/>
        </w:rPr>
        <w:t>。</w:t>
      </w:r>
      <w:r>
        <w:rPr>
          <w:rFonts w:ascii="標楷體" w:eastAsia="標楷體" w:hAnsi="標楷體" w:hint="eastAsia"/>
          <w:color w:val="000000"/>
          <w:sz w:val="28"/>
          <w:szCs w:val="28"/>
        </w:rPr>
        <w:t>【5】</w:t>
      </w:r>
    </w:p>
    <w:p w14:paraId="25BE9C07" w14:textId="498EBD01"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(五)「業務費」項下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一般事務費</w:t>
      </w:r>
      <w:r w:rsidRPr="00E35069">
        <w:rPr>
          <w:rFonts w:ascii="標楷體" w:eastAsia="標楷體" w:hAnsi="標楷體"/>
          <w:color w:val="000000"/>
          <w:sz w:val="28"/>
          <w:szCs w:val="28"/>
        </w:rPr>
        <w:t>」</w:t>
      </w:r>
      <w:r>
        <w:rPr>
          <w:rFonts w:ascii="標楷體" w:eastAsia="標楷體" w:hAnsi="標楷體" w:hint="eastAsia"/>
          <w:color w:val="000000"/>
          <w:sz w:val="28"/>
          <w:szCs w:val="28"/>
        </w:rPr>
        <w:t>20</w:t>
      </w:r>
      <w:r>
        <w:rPr>
          <w:rFonts w:ascii="標楷體" w:eastAsia="標楷體" w:hAnsi="標楷體"/>
          <w:color w:val="000000"/>
          <w:sz w:val="28"/>
          <w:szCs w:val="28"/>
        </w:rPr>
        <w:t>0</w:t>
      </w:r>
      <w:r>
        <w:rPr>
          <w:rFonts w:ascii="標楷體" w:eastAsia="標楷體" w:hAnsi="標楷體" w:hint="eastAsia"/>
          <w:color w:val="000000"/>
          <w:sz w:val="28"/>
          <w:szCs w:val="28"/>
        </w:rPr>
        <w:t>萬元</w:t>
      </w:r>
      <w:r>
        <w:rPr>
          <w:rFonts w:ascii="標楷體" w:eastAsia="標楷體" w:hAnsi="標楷體"/>
          <w:color w:val="000000"/>
          <w:sz w:val="28"/>
          <w:szCs w:val="28"/>
        </w:rPr>
        <w:t>。</w:t>
      </w:r>
      <w:r>
        <w:rPr>
          <w:rFonts w:ascii="標楷體" w:eastAsia="標楷體" w:hAnsi="標楷體" w:hint="eastAsia"/>
          <w:color w:val="000000"/>
          <w:sz w:val="28"/>
          <w:szCs w:val="28"/>
        </w:rPr>
        <w:t>【7】</w:t>
      </w:r>
    </w:p>
    <w:p w14:paraId="03F5AA8E" w14:textId="1C703CCB"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(六)「業務費」項下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房屋建築養護費</w:t>
      </w:r>
      <w:r w:rsidRPr="00E35069">
        <w:rPr>
          <w:rFonts w:ascii="標楷體" w:eastAsia="標楷體" w:hAnsi="標楷體"/>
          <w:color w:val="000000"/>
          <w:sz w:val="28"/>
          <w:szCs w:val="28"/>
        </w:rPr>
        <w:t>」</w:t>
      </w:r>
      <w:r>
        <w:rPr>
          <w:rFonts w:ascii="標楷體" w:eastAsia="標楷體" w:hAnsi="標楷體" w:hint="eastAsia"/>
          <w:color w:val="000000"/>
          <w:sz w:val="28"/>
          <w:szCs w:val="28"/>
        </w:rPr>
        <w:t>200萬元</w:t>
      </w:r>
      <w:r>
        <w:rPr>
          <w:rFonts w:ascii="標楷體" w:eastAsia="標楷體" w:hAnsi="標楷體"/>
          <w:color w:val="000000"/>
          <w:sz w:val="28"/>
          <w:szCs w:val="28"/>
        </w:rPr>
        <w:t>。</w:t>
      </w:r>
      <w:r>
        <w:rPr>
          <w:rFonts w:ascii="標楷體" w:eastAsia="標楷體" w:hAnsi="標楷體" w:hint="eastAsia"/>
          <w:color w:val="000000"/>
          <w:sz w:val="28"/>
          <w:szCs w:val="28"/>
        </w:rPr>
        <w:t>【8】</w:t>
      </w:r>
    </w:p>
    <w:p w14:paraId="18D8EB60" w14:textId="272D5013"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(七)</w:t>
      </w:r>
      <w:r w:rsidRPr="00F43B5D">
        <w:rPr>
          <w:rFonts w:ascii="標楷體" w:eastAsia="標楷體" w:hAnsi="標楷體" w:hint="eastAsia"/>
          <w:color w:val="000000"/>
          <w:spacing w:val="-6"/>
          <w:sz w:val="28"/>
          <w:szCs w:val="28"/>
        </w:rPr>
        <w:t>「業務費」項下</w:t>
      </w:r>
      <w:r w:rsidRPr="00F43B5D">
        <w:rPr>
          <w:rFonts w:ascii="標楷體" w:eastAsia="標楷體" w:hAnsi="標楷體"/>
          <w:color w:val="000000"/>
          <w:spacing w:val="-6"/>
          <w:sz w:val="28"/>
          <w:szCs w:val="28"/>
        </w:rPr>
        <w:t>「</w:t>
      </w:r>
      <w:r w:rsidRPr="00F43B5D">
        <w:rPr>
          <w:rFonts w:ascii="標楷體" w:eastAsia="標楷體" w:hAnsi="標楷體" w:hint="eastAsia"/>
          <w:color w:val="000000"/>
          <w:spacing w:val="-6"/>
          <w:sz w:val="28"/>
          <w:szCs w:val="28"/>
        </w:rPr>
        <w:t>車輛及辦公器具養護費</w:t>
      </w:r>
      <w:r w:rsidRPr="00F43B5D">
        <w:rPr>
          <w:rFonts w:ascii="標楷體" w:eastAsia="標楷體" w:hAnsi="標楷體"/>
          <w:color w:val="000000"/>
          <w:spacing w:val="-6"/>
          <w:sz w:val="28"/>
          <w:szCs w:val="28"/>
        </w:rPr>
        <w:t>」</w:t>
      </w:r>
      <w:r w:rsidRPr="00F43B5D">
        <w:rPr>
          <w:rFonts w:ascii="標楷體" w:eastAsia="標楷體" w:hAnsi="標楷體" w:hint="eastAsia"/>
          <w:color w:val="000000"/>
          <w:spacing w:val="-6"/>
          <w:sz w:val="28"/>
          <w:szCs w:val="28"/>
        </w:rPr>
        <w:t>1</w:t>
      </w:r>
      <w:r w:rsidRPr="00F43B5D">
        <w:rPr>
          <w:rFonts w:ascii="標楷體" w:eastAsia="標楷體" w:hAnsi="標楷體"/>
          <w:color w:val="000000"/>
          <w:spacing w:val="-6"/>
          <w:sz w:val="28"/>
          <w:szCs w:val="28"/>
        </w:rPr>
        <w:t>0</w:t>
      </w:r>
      <w:r w:rsidRPr="00F43B5D">
        <w:rPr>
          <w:rFonts w:ascii="標楷體" w:eastAsia="標楷體" w:hAnsi="標楷體" w:hint="eastAsia"/>
          <w:color w:val="000000"/>
          <w:spacing w:val="-6"/>
          <w:sz w:val="28"/>
          <w:szCs w:val="28"/>
        </w:rPr>
        <w:t>萬元</w:t>
      </w:r>
      <w:r w:rsidRPr="00F43B5D">
        <w:rPr>
          <w:rFonts w:ascii="標楷體" w:eastAsia="標楷體" w:hAnsi="標楷體"/>
          <w:color w:val="000000"/>
          <w:spacing w:val="-6"/>
          <w:sz w:val="28"/>
          <w:szCs w:val="28"/>
        </w:rPr>
        <w:t>。</w:t>
      </w:r>
      <w:r w:rsidRPr="00F43B5D">
        <w:rPr>
          <w:rFonts w:ascii="標楷體" w:eastAsia="標楷體" w:hAnsi="標楷體" w:hint="eastAsia"/>
          <w:color w:val="000000"/>
          <w:spacing w:val="-6"/>
          <w:sz w:val="28"/>
          <w:szCs w:val="28"/>
        </w:rPr>
        <w:t>【9】</w:t>
      </w:r>
    </w:p>
    <w:p w14:paraId="1065B39C" w14:textId="409E1D94" w:rsidR="00F43B5D" w:rsidRDefault="00F43B5D" w:rsidP="00E35069">
      <w:pPr>
        <w:snapToGrid w:val="0"/>
        <w:ind w:leftChars="150" w:left="120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(八)「業務費」項下</w:t>
      </w:r>
      <w:r w:rsidRPr="00E35069">
        <w:rPr>
          <w:rFonts w:ascii="標楷體" w:eastAsia="標楷體" w:hAnsi="標楷體"/>
          <w:color w:val="000000"/>
          <w:sz w:val="28"/>
          <w:szCs w:val="28"/>
        </w:rPr>
        <w:t>「</w:t>
      </w:r>
      <w:r>
        <w:rPr>
          <w:rFonts w:ascii="標楷體" w:eastAsia="標楷體" w:hAnsi="標楷體" w:hint="eastAsia"/>
          <w:color w:val="000000"/>
          <w:sz w:val="28"/>
          <w:szCs w:val="28"/>
        </w:rPr>
        <w:t>短程車資</w:t>
      </w:r>
      <w:r w:rsidRPr="00E35069">
        <w:rPr>
          <w:rFonts w:ascii="標楷體" w:eastAsia="標楷體" w:hAnsi="標楷體"/>
          <w:color w:val="000000"/>
          <w:sz w:val="28"/>
          <w:szCs w:val="28"/>
        </w:rPr>
        <w:t>」</w:t>
      </w:r>
      <w:r>
        <w:rPr>
          <w:rFonts w:ascii="標楷體" w:eastAsia="標楷體" w:hAnsi="標楷體" w:hint="eastAsia"/>
          <w:color w:val="000000"/>
          <w:sz w:val="28"/>
          <w:szCs w:val="28"/>
        </w:rPr>
        <w:t>1</w:t>
      </w:r>
      <w:r>
        <w:rPr>
          <w:rFonts w:ascii="標楷體" w:eastAsia="標楷體" w:hAnsi="標楷體"/>
          <w:color w:val="000000"/>
          <w:sz w:val="28"/>
          <w:szCs w:val="28"/>
        </w:rPr>
        <w:t>0</w:t>
      </w:r>
      <w:r>
        <w:rPr>
          <w:rFonts w:ascii="標楷體" w:eastAsia="標楷體" w:hAnsi="標楷體" w:hint="eastAsia"/>
          <w:color w:val="000000"/>
          <w:sz w:val="28"/>
          <w:szCs w:val="28"/>
        </w:rPr>
        <w:t>萬元</w:t>
      </w:r>
      <w:r>
        <w:rPr>
          <w:rFonts w:ascii="標楷體" w:eastAsia="標楷體" w:hAnsi="標楷體"/>
          <w:color w:val="000000"/>
          <w:sz w:val="28"/>
          <w:szCs w:val="28"/>
        </w:rPr>
        <w:t>。</w:t>
      </w:r>
      <w:r>
        <w:rPr>
          <w:rFonts w:ascii="標楷體" w:eastAsia="標楷體" w:hAnsi="標楷體" w:hint="eastAsia"/>
          <w:color w:val="000000"/>
          <w:sz w:val="28"/>
          <w:szCs w:val="28"/>
        </w:rPr>
        <w:t>【10】</w:t>
      </w:r>
    </w:p>
    <w:p w14:paraId="52B39819" w14:textId="7B1692F9" w:rsidR="00E35069" w:rsidRPr="00E35069" w:rsidRDefault="00E35069" w:rsidP="00E35069">
      <w:pPr>
        <w:snapToGrid w:val="0"/>
        <w:ind w:leftChars="150" w:left="1900" w:hangingChars="550" w:hanging="1540"/>
        <w:jc w:val="both"/>
        <w:rPr>
          <w:rFonts w:ascii="標楷體" w:eastAsia="標楷體" w:hAnsi="標楷體"/>
          <w:color w:val="000000"/>
          <w:sz w:val="28"/>
          <w:szCs w:val="28"/>
          <w:highlight w:val="yellow"/>
        </w:rPr>
      </w:pPr>
      <w:r>
        <w:rPr>
          <w:rFonts w:ascii="標楷體" w:eastAsia="標楷體" w:hAnsi="標楷體" w:hint="eastAsia"/>
          <w:color w:val="000000"/>
          <w:sz w:val="28"/>
          <w:szCs w:val="28"/>
        </w:rPr>
        <w:t xml:space="preserve">       </w:t>
      </w:r>
      <w:r w:rsidRPr="00E35069">
        <w:rPr>
          <w:rFonts w:ascii="標楷體" w:eastAsia="標楷體" w:hAnsi="標楷體" w:hint="eastAsia"/>
          <w:color w:val="000000"/>
          <w:sz w:val="28"/>
          <w:szCs w:val="28"/>
        </w:rPr>
        <w:t>(</w:t>
      </w:r>
      <w:r w:rsidR="00F43B5D">
        <w:rPr>
          <w:rFonts w:ascii="標楷體" w:eastAsia="標楷體" w:hAnsi="標楷體" w:hint="eastAsia"/>
          <w:color w:val="000000"/>
          <w:sz w:val="28"/>
          <w:szCs w:val="28"/>
        </w:rPr>
        <w:t>九</w:t>
      </w:r>
      <w:r w:rsidRPr="00E35069">
        <w:rPr>
          <w:rFonts w:ascii="標楷體" w:eastAsia="標楷體" w:hAnsi="標楷體" w:hint="eastAsia"/>
          <w:color w:val="000000"/>
          <w:sz w:val="28"/>
          <w:szCs w:val="28"/>
        </w:rPr>
        <w:t>)第</w:t>
      </w:r>
      <w:r w:rsidRPr="00E35069">
        <w:rPr>
          <w:rFonts w:ascii="標楷體" w:eastAsia="標楷體" w:hAnsi="標楷體"/>
          <w:color w:val="000000"/>
          <w:sz w:val="28"/>
          <w:szCs w:val="28"/>
        </w:rPr>
        <w:t>4</w:t>
      </w:r>
      <w:r w:rsidRPr="00E35069">
        <w:rPr>
          <w:rFonts w:ascii="標楷體" w:eastAsia="標楷體" w:hAnsi="標楷體" w:hint="eastAsia"/>
          <w:color w:val="000000"/>
          <w:sz w:val="28"/>
          <w:szCs w:val="28"/>
        </w:rPr>
        <w:t>目</w:t>
      </w:r>
      <w:r w:rsidRPr="00E35069">
        <w:rPr>
          <w:rFonts w:ascii="標楷體" w:eastAsia="標楷體" w:hAnsi="標楷體"/>
          <w:color w:val="000000"/>
          <w:sz w:val="28"/>
          <w:szCs w:val="28"/>
        </w:rPr>
        <w:t>「</w:t>
      </w:r>
      <w:r w:rsidRPr="00E35069">
        <w:rPr>
          <w:rFonts w:ascii="標楷體" w:eastAsia="標楷體" w:hAnsi="標楷體" w:hint="eastAsia"/>
          <w:color w:val="000000"/>
          <w:sz w:val="28"/>
          <w:szCs w:val="28"/>
        </w:rPr>
        <w:t>研究發展</w:t>
      </w:r>
      <w:r w:rsidRPr="00E35069">
        <w:rPr>
          <w:rFonts w:ascii="標楷體" w:eastAsia="標楷體" w:hAnsi="標楷體"/>
          <w:color w:val="000000"/>
          <w:sz w:val="28"/>
          <w:szCs w:val="28"/>
        </w:rPr>
        <w:t>」</w:t>
      </w:r>
      <w:r w:rsidR="00F85FD8">
        <w:rPr>
          <w:rFonts w:ascii="標楷體" w:eastAsia="標楷體" w:hAnsi="標楷體" w:hint="eastAsia"/>
          <w:color w:val="000000"/>
          <w:sz w:val="28"/>
          <w:szCs w:val="28"/>
        </w:rPr>
        <w:t>第1節「國家發展研究及諮詢」項下「國政規劃與諮詢」</w:t>
      </w:r>
      <w:r w:rsidRPr="00E35069">
        <w:rPr>
          <w:rFonts w:ascii="標楷體" w:eastAsia="標楷體" w:hAnsi="標楷體"/>
          <w:color w:val="000000"/>
          <w:sz w:val="28"/>
          <w:szCs w:val="28"/>
        </w:rPr>
        <w:t>20</w:t>
      </w:r>
      <w:r w:rsidRPr="00E35069">
        <w:rPr>
          <w:rFonts w:ascii="標楷體" w:eastAsia="標楷體" w:hAnsi="標楷體" w:hint="eastAsia"/>
          <w:color w:val="000000"/>
          <w:sz w:val="28"/>
          <w:szCs w:val="28"/>
        </w:rPr>
        <w:t>萬元</w:t>
      </w:r>
      <w:r w:rsidRPr="00E35069">
        <w:rPr>
          <w:rFonts w:ascii="標楷體" w:eastAsia="標楷體" w:hAnsi="標楷體"/>
          <w:color w:val="000000"/>
          <w:sz w:val="28"/>
          <w:szCs w:val="28"/>
        </w:rPr>
        <w:t>。</w:t>
      </w:r>
      <w:r w:rsidRPr="00E35069">
        <w:rPr>
          <w:rFonts w:ascii="標楷體" w:eastAsia="標楷體" w:hAnsi="標楷體" w:hint="eastAsia"/>
          <w:color w:val="000000"/>
          <w:sz w:val="28"/>
          <w:szCs w:val="28"/>
        </w:rPr>
        <w:t>【1</w:t>
      </w:r>
      <w:r w:rsidRPr="00E35069">
        <w:rPr>
          <w:rFonts w:ascii="標楷體" w:eastAsia="標楷體" w:hAnsi="標楷體"/>
          <w:color w:val="000000"/>
          <w:sz w:val="28"/>
          <w:szCs w:val="28"/>
        </w:rPr>
        <w:t>8</w:t>
      </w:r>
      <w:r w:rsidRPr="00E35069">
        <w:rPr>
          <w:rFonts w:ascii="標楷體" w:eastAsia="標楷體" w:hAnsi="標楷體" w:hint="eastAsia"/>
          <w:color w:val="000000"/>
          <w:sz w:val="28"/>
          <w:szCs w:val="28"/>
        </w:rPr>
        <w:t>】</w:t>
      </w:r>
    </w:p>
    <w:p w14:paraId="4EDEDEDB" w14:textId="6CB3FC04" w:rsidR="00E35069" w:rsidRDefault="00E35069" w:rsidP="00E35069">
      <w:pPr>
        <w:snapToGrid w:val="0"/>
        <w:ind w:leftChars="150" w:left="1900" w:hangingChars="550" w:hanging="1540"/>
        <w:jc w:val="both"/>
        <w:rPr>
          <w:rFonts w:ascii="標楷體" w:eastAsia="標楷體" w:hAnsi="標楷體"/>
          <w:color w:val="000000"/>
          <w:sz w:val="28"/>
          <w:szCs w:val="28"/>
        </w:rPr>
      </w:pPr>
      <w:r w:rsidRPr="00A21BA8">
        <w:rPr>
          <w:rFonts w:ascii="標楷體" w:eastAsia="標楷體" w:hAnsi="標楷體" w:hint="eastAsia"/>
          <w:color w:val="000000"/>
          <w:sz w:val="28"/>
          <w:szCs w:val="28"/>
        </w:rPr>
        <w:lastRenderedPageBreak/>
        <w:t xml:space="preserve">       (</w:t>
      </w:r>
      <w:r w:rsidR="00F43B5D">
        <w:rPr>
          <w:rFonts w:ascii="標楷體" w:eastAsia="標楷體" w:hAnsi="標楷體" w:hint="eastAsia"/>
          <w:color w:val="000000"/>
          <w:sz w:val="28"/>
          <w:szCs w:val="28"/>
        </w:rPr>
        <w:t>十</w:t>
      </w:r>
      <w:r w:rsidRPr="00A21BA8">
        <w:rPr>
          <w:rFonts w:ascii="標楷體" w:eastAsia="標楷體" w:hAnsi="標楷體" w:hint="eastAsia"/>
          <w:color w:val="000000"/>
          <w:sz w:val="28"/>
          <w:szCs w:val="28"/>
        </w:rPr>
        <w:t>)第</w:t>
      </w:r>
      <w:r w:rsidR="00A21BA8" w:rsidRPr="00A21BA8">
        <w:rPr>
          <w:rFonts w:ascii="標楷體" w:eastAsia="標楷體" w:hAnsi="標楷體"/>
          <w:color w:val="000000"/>
          <w:sz w:val="28"/>
          <w:szCs w:val="28"/>
        </w:rPr>
        <w:t>5</w:t>
      </w:r>
      <w:r w:rsidRPr="00A21BA8">
        <w:rPr>
          <w:rFonts w:ascii="標楷體" w:eastAsia="標楷體" w:hAnsi="標楷體" w:hint="eastAsia"/>
          <w:color w:val="000000"/>
          <w:sz w:val="28"/>
          <w:szCs w:val="28"/>
        </w:rPr>
        <w:t>目</w:t>
      </w:r>
      <w:r w:rsidRPr="00A21BA8">
        <w:rPr>
          <w:rFonts w:ascii="標楷體" w:eastAsia="標楷體" w:hAnsi="標楷體"/>
          <w:color w:val="000000"/>
          <w:sz w:val="28"/>
          <w:szCs w:val="28"/>
        </w:rPr>
        <w:t>「</w:t>
      </w:r>
      <w:r w:rsidR="00A21BA8" w:rsidRPr="00A21BA8">
        <w:rPr>
          <w:rFonts w:ascii="標楷體" w:eastAsia="標楷體" w:hAnsi="標楷體" w:hint="eastAsia"/>
          <w:color w:val="000000"/>
          <w:sz w:val="28"/>
          <w:szCs w:val="28"/>
        </w:rPr>
        <w:t>新聞發布</w:t>
      </w:r>
      <w:r w:rsidRPr="00A21BA8">
        <w:rPr>
          <w:rFonts w:ascii="標楷體" w:eastAsia="標楷體" w:hAnsi="標楷體"/>
          <w:color w:val="000000"/>
          <w:sz w:val="28"/>
          <w:szCs w:val="28"/>
        </w:rPr>
        <w:t>」</w:t>
      </w:r>
      <w:r w:rsidRPr="00A21BA8">
        <w:rPr>
          <w:rFonts w:ascii="標楷體" w:eastAsia="標楷體" w:hAnsi="標楷體" w:hint="eastAsia"/>
          <w:color w:val="000000"/>
          <w:sz w:val="28"/>
          <w:szCs w:val="28"/>
        </w:rPr>
        <w:t>50萬元</w:t>
      </w:r>
      <w:r w:rsidRPr="00A21BA8">
        <w:rPr>
          <w:rFonts w:ascii="標楷體" w:eastAsia="標楷體" w:hAnsi="標楷體"/>
          <w:color w:val="000000"/>
          <w:sz w:val="28"/>
          <w:szCs w:val="28"/>
        </w:rPr>
        <w:t>。</w:t>
      </w:r>
      <w:r w:rsidRPr="00A21BA8">
        <w:rPr>
          <w:rFonts w:ascii="標楷體" w:eastAsia="標楷體" w:hAnsi="標楷體" w:hint="eastAsia"/>
          <w:color w:val="000000"/>
          <w:sz w:val="28"/>
          <w:szCs w:val="28"/>
        </w:rPr>
        <w:t>【</w:t>
      </w:r>
      <w:r w:rsidR="00A21BA8">
        <w:rPr>
          <w:rFonts w:ascii="標楷體" w:eastAsia="標楷體" w:hAnsi="標楷體" w:hint="eastAsia"/>
          <w:color w:val="000000"/>
          <w:sz w:val="28"/>
          <w:szCs w:val="28"/>
        </w:rPr>
        <w:t>2</w:t>
      </w:r>
      <w:r w:rsidR="00A21BA8">
        <w:rPr>
          <w:rFonts w:ascii="標楷體" w:eastAsia="標楷體" w:hAnsi="標楷體"/>
          <w:color w:val="000000"/>
          <w:sz w:val="28"/>
          <w:szCs w:val="28"/>
        </w:rPr>
        <w:t>0</w:t>
      </w:r>
      <w:r w:rsidRPr="00A21BA8">
        <w:rPr>
          <w:rFonts w:ascii="標楷體" w:eastAsia="標楷體" w:hAnsi="標楷體" w:hint="eastAsia"/>
          <w:color w:val="000000"/>
          <w:sz w:val="28"/>
          <w:szCs w:val="28"/>
        </w:rPr>
        <w:t>】</w:t>
      </w:r>
    </w:p>
    <w:p w14:paraId="22128C2C" w14:textId="50CFCA93" w:rsidR="00E35069" w:rsidRPr="00E35069" w:rsidRDefault="00E35069" w:rsidP="00A21BA8">
      <w:pPr>
        <w:snapToGrid w:val="0"/>
        <w:ind w:leftChars="150" w:left="1340" w:hangingChars="350" w:hanging="98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以上共計減列</w:t>
      </w:r>
      <w:r w:rsidR="00A21BA8">
        <w:rPr>
          <w:rFonts w:ascii="標楷體" w:eastAsia="標楷體" w:hAnsi="標楷體"/>
          <w:color w:val="000000"/>
          <w:sz w:val="28"/>
          <w:szCs w:val="28"/>
        </w:rPr>
        <w:t>66</w:t>
      </w:r>
      <w:r>
        <w:rPr>
          <w:rFonts w:ascii="標楷體" w:eastAsia="標楷體" w:hAnsi="標楷體" w:hint="eastAsia"/>
          <w:color w:val="000000"/>
          <w:sz w:val="28"/>
          <w:szCs w:val="28"/>
        </w:rPr>
        <w:t>0萬元，其餘</w:t>
      </w:r>
      <w:r w:rsidRPr="00DF4778">
        <w:rPr>
          <w:rFonts w:ascii="標楷體" w:eastAsia="標楷體" w:hAnsi="標楷體" w:hint="eastAsia"/>
          <w:color w:val="000000"/>
          <w:sz w:val="28"/>
          <w:szCs w:val="28"/>
        </w:rPr>
        <w:t>均照列，改列為</w:t>
      </w:r>
      <w:r w:rsidR="00A21BA8">
        <w:rPr>
          <w:rFonts w:ascii="標楷體" w:eastAsia="標楷體" w:hAnsi="標楷體"/>
          <w:color w:val="000000"/>
          <w:sz w:val="28"/>
          <w:szCs w:val="28"/>
        </w:rPr>
        <w:t>11</w:t>
      </w:r>
      <w:r w:rsidRPr="00DF4778">
        <w:rPr>
          <w:rFonts w:ascii="標楷體" w:eastAsia="標楷體" w:hAnsi="標楷體"/>
          <w:color w:val="000000"/>
          <w:sz w:val="28"/>
          <w:szCs w:val="28"/>
        </w:rPr>
        <w:t>億</w:t>
      </w:r>
      <w:r w:rsidR="00A21BA8">
        <w:rPr>
          <w:rFonts w:ascii="標楷體" w:eastAsia="標楷體" w:hAnsi="標楷體"/>
          <w:color w:val="000000"/>
          <w:sz w:val="28"/>
          <w:szCs w:val="28"/>
        </w:rPr>
        <w:t>5,72</w:t>
      </w:r>
      <w:r>
        <w:rPr>
          <w:rFonts w:ascii="標楷體" w:eastAsia="標楷體" w:hAnsi="標楷體" w:hint="eastAsia"/>
          <w:color w:val="000000"/>
          <w:sz w:val="28"/>
          <w:szCs w:val="28"/>
        </w:rPr>
        <w:t>1</w:t>
      </w:r>
      <w:r w:rsidRPr="00DF4778">
        <w:rPr>
          <w:rFonts w:ascii="標楷體" w:eastAsia="標楷體" w:hAnsi="標楷體"/>
          <w:color w:val="000000"/>
          <w:sz w:val="28"/>
          <w:szCs w:val="28"/>
        </w:rPr>
        <w:t>萬</w:t>
      </w:r>
      <w:r w:rsidR="00A21BA8">
        <w:rPr>
          <w:rFonts w:ascii="標楷體" w:eastAsia="標楷體" w:hAnsi="標楷體"/>
          <w:color w:val="000000"/>
          <w:sz w:val="28"/>
          <w:szCs w:val="28"/>
        </w:rPr>
        <w:t>1</w:t>
      </w:r>
      <w:r>
        <w:rPr>
          <w:rFonts w:ascii="標楷體" w:eastAsia="標楷體" w:hAnsi="標楷體" w:hint="eastAsia"/>
          <w:color w:val="000000"/>
          <w:sz w:val="28"/>
          <w:szCs w:val="28"/>
        </w:rPr>
        <w:t>千</w:t>
      </w:r>
      <w:r w:rsidRPr="00DF4778">
        <w:rPr>
          <w:rFonts w:ascii="標楷體" w:eastAsia="標楷體" w:hAnsi="標楷體"/>
          <w:color w:val="000000"/>
          <w:sz w:val="28"/>
          <w:szCs w:val="28"/>
        </w:rPr>
        <w:t>元</w:t>
      </w:r>
      <w:r>
        <w:rPr>
          <w:rFonts w:ascii="標楷體" w:eastAsia="標楷體" w:hAnsi="標楷體" w:hint="eastAsia"/>
          <w:color w:val="000000"/>
          <w:sz w:val="28"/>
          <w:szCs w:val="28"/>
        </w:rPr>
        <w:t>。</w:t>
      </w:r>
    </w:p>
    <w:p w14:paraId="41F8743A" w14:textId="58B0C08F" w:rsidR="0078011D" w:rsidRPr="0078011D" w:rsidRDefault="0078011D" w:rsidP="0078011D">
      <w:pPr>
        <w:snapToGrid w:val="0"/>
        <w:ind w:leftChars="150" w:left="1201" w:hangingChars="300" w:hanging="841"/>
        <w:jc w:val="both"/>
        <w:rPr>
          <w:rFonts w:ascii="標楷體" w:eastAsia="標楷體" w:hAnsi="標楷體"/>
          <w:b/>
          <w:color w:val="000000"/>
          <w:sz w:val="28"/>
          <w:szCs w:val="28"/>
        </w:rPr>
      </w:pPr>
      <w:r w:rsidRPr="0078011D">
        <w:rPr>
          <w:rFonts w:ascii="標楷體" w:eastAsia="標楷體" w:hAnsi="標楷體"/>
          <w:b/>
          <w:bCs/>
          <w:sz w:val="28"/>
          <w:szCs w:val="28"/>
        </w:rPr>
        <w:t>本項提案</w:t>
      </w:r>
      <w:r w:rsidR="00A21BA8">
        <w:rPr>
          <w:rFonts w:ascii="標楷體" w:eastAsia="標楷體" w:hAnsi="標楷體"/>
          <w:b/>
          <w:bCs/>
          <w:sz w:val="28"/>
          <w:szCs w:val="28"/>
        </w:rPr>
        <w:t>5</w:t>
      </w:r>
      <w:r w:rsidRPr="0078011D">
        <w:rPr>
          <w:rFonts w:ascii="標楷體" w:eastAsia="標楷體" w:hAnsi="標楷體"/>
          <w:b/>
          <w:bCs/>
          <w:sz w:val="28"/>
          <w:szCs w:val="28"/>
        </w:rPr>
        <w:t>案，保留，送院會處理</w:t>
      </w:r>
      <w:r w:rsidRPr="0078011D">
        <w:rPr>
          <w:rFonts w:ascii="標楷體" w:eastAsia="標楷體" w:hAnsi="標楷體"/>
          <w:b/>
          <w:sz w:val="28"/>
          <w:szCs w:val="28"/>
        </w:rPr>
        <w:t>：</w:t>
      </w:r>
    </w:p>
    <w:p w14:paraId="5C385118" w14:textId="77777777" w:rsidR="00743E8C" w:rsidRPr="00E97ED0" w:rsidRDefault="00743E8C" w:rsidP="00BF5B2C">
      <w:pPr>
        <w:pStyle w:val="a"/>
        <w:numPr>
          <w:ilvl w:val="0"/>
          <w:numId w:val="29"/>
        </w:numPr>
        <w:ind w:left="924" w:hanging="567"/>
      </w:pPr>
      <w:bookmarkStart w:id="39" w:name="_Hlk212035283"/>
      <w:r>
        <w:rPr>
          <w:rFonts w:hint="eastAsia"/>
        </w:rPr>
        <w:t>總統府</w:t>
      </w:r>
      <w:r w:rsidRPr="00E97ED0">
        <w:rPr>
          <w:rFonts w:hint="eastAsia"/>
        </w:rPr>
        <w:t>115年度預算案</w:t>
      </w:r>
      <w:r w:rsidRPr="00E97ED0">
        <w:t>編列</w:t>
      </w:r>
      <w:r w:rsidRPr="004E1D28">
        <w:t>1,163,811</w:t>
      </w:r>
      <w:r w:rsidRPr="00E97ED0">
        <w:t>千元，比</w:t>
      </w:r>
      <w:bookmarkStart w:id="40" w:name="_Hlk212801218"/>
      <w:r w:rsidRPr="00E97ED0">
        <w:t>114年度法定預算</w:t>
      </w:r>
      <w:r w:rsidRPr="004E1D28">
        <w:t>1,067,647</w:t>
      </w:r>
      <w:r w:rsidRPr="00E97ED0">
        <w:t>千元，增加</w:t>
      </w:r>
      <w:r w:rsidRPr="004E1D28">
        <w:t>96,164</w:t>
      </w:r>
      <w:r w:rsidRPr="00E97ED0">
        <w:t>千元（</w:t>
      </w:r>
      <w:r>
        <w:rPr>
          <w:rFonts w:hint="eastAsia"/>
        </w:rPr>
        <w:t>約9千6百</w:t>
      </w:r>
      <w:r w:rsidRPr="00E97ED0">
        <w:rPr>
          <w:rFonts w:hint="eastAsia"/>
        </w:rPr>
        <w:t>萬元</w:t>
      </w:r>
      <w:r w:rsidRPr="00E97ED0">
        <w:t>），成長幅度</w:t>
      </w:r>
      <w:r w:rsidRPr="004E1D28">
        <w:t>9.01%</w:t>
      </w:r>
      <w:r w:rsidRPr="00E97ED0">
        <w:t>。</w:t>
      </w:r>
      <w:bookmarkEnd w:id="40"/>
      <w:r w:rsidRPr="00651074">
        <w:rPr>
          <w:rFonts w:hint="eastAsia"/>
          <w:b/>
          <w:u w:val="thick"/>
        </w:rPr>
        <w:t>114年決算剩餘數63,484千元，約為6千3百萬。</w:t>
      </w:r>
    </w:p>
    <w:p w14:paraId="778BEE04" w14:textId="77777777" w:rsidR="00743E8C" w:rsidRPr="00BC7A21" w:rsidRDefault="00743E8C" w:rsidP="009E49AF">
      <w:pPr>
        <w:pStyle w:val="10"/>
      </w:pPr>
      <w:bookmarkStart w:id="41" w:name="_Hlk213077131"/>
      <w:r>
        <w:rPr>
          <w:rFonts w:hint="eastAsia"/>
        </w:rPr>
        <w:t>總統府</w:t>
      </w:r>
      <w:r w:rsidRPr="00E97ED0">
        <w:rPr>
          <w:rFonts w:hint="eastAsia"/>
        </w:rPr>
        <w:t>115年</w:t>
      </w:r>
      <w:bookmarkEnd w:id="41"/>
      <w:r w:rsidRPr="00E97ED0">
        <w:rPr>
          <w:rFonts w:hint="eastAsia"/>
        </w:rPr>
        <w:t>「</w:t>
      </w:r>
      <w:r>
        <w:rPr>
          <w:rFonts w:hint="eastAsia"/>
        </w:rPr>
        <w:t>按日按件計資酬金</w:t>
      </w:r>
      <w:r w:rsidRPr="00E97ED0">
        <w:rPr>
          <w:rFonts w:hint="eastAsia"/>
        </w:rPr>
        <w:t>」編列預算</w:t>
      </w:r>
      <w:r w:rsidRPr="00FA61C7">
        <w:t>5,433</w:t>
      </w:r>
      <w:r w:rsidRPr="005B2C89">
        <w:rPr>
          <w:rFonts w:hint="eastAsia"/>
        </w:rPr>
        <w:t>千</w:t>
      </w:r>
      <w:r w:rsidRPr="00E97ED0">
        <w:rPr>
          <w:rFonts w:hint="eastAsia"/>
        </w:rPr>
        <w:t>元，</w:t>
      </w:r>
      <w:r w:rsidRPr="00D35BD8">
        <w:rPr>
          <w:rFonts w:hint="eastAsia"/>
          <w:b/>
          <w:u w:val="thick"/>
        </w:rPr>
        <w:t>與114年度預算數</w:t>
      </w:r>
      <w:r w:rsidRPr="00D35BD8">
        <w:rPr>
          <w:b/>
          <w:u w:val="thick"/>
        </w:rPr>
        <w:t>5,161</w:t>
      </w:r>
      <w:r w:rsidRPr="00D35BD8">
        <w:rPr>
          <w:rFonts w:hint="eastAsia"/>
          <w:b/>
          <w:u w:val="thick"/>
        </w:rPr>
        <w:t>千元相比，</w:t>
      </w:r>
      <w:bookmarkStart w:id="42" w:name="_Hlk230106211"/>
      <w:bookmarkStart w:id="43" w:name="_Hlk230104256"/>
      <w:r w:rsidRPr="00D35BD8">
        <w:rPr>
          <w:rFonts w:hint="eastAsia"/>
          <w:b/>
          <w:u w:val="thick"/>
        </w:rPr>
        <w:t>增列</w:t>
      </w:r>
      <w:r w:rsidRPr="00D35BD8">
        <w:rPr>
          <w:b/>
          <w:u w:val="thick"/>
        </w:rPr>
        <w:t>272</w:t>
      </w:r>
      <w:r w:rsidRPr="00D35BD8">
        <w:rPr>
          <w:rFonts w:hint="eastAsia"/>
          <w:b/>
          <w:u w:val="thick"/>
        </w:rPr>
        <w:t>千元，成長比例</w:t>
      </w:r>
      <w:r w:rsidRPr="00D35BD8">
        <w:rPr>
          <w:b/>
          <w:u w:val="thick"/>
        </w:rPr>
        <w:t>5.27%</w:t>
      </w:r>
      <w:bookmarkEnd w:id="42"/>
      <w:r w:rsidRPr="00D35BD8">
        <w:rPr>
          <w:rFonts w:hint="eastAsia"/>
          <w:b/>
          <w:u w:val="thick"/>
        </w:rPr>
        <w:t>。</w:t>
      </w:r>
      <w:bookmarkEnd w:id="43"/>
    </w:p>
    <w:tbl>
      <w:tblPr>
        <w:tblpPr w:leftFromText="180" w:rightFromText="180" w:vertAnchor="text" w:horzAnchor="margin" w:tblpY="194"/>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9"/>
        <w:gridCol w:w="1524"/>
        <w:gridCol w:w="1524"/>
        <w:gridCol w:w="1524"/>
        <w:gridCol w:w="1524"/>
        <w:gridCol w:w="2268"/>
      </w:tblGrid>
      <w:tr w:rsidR="00743E8C" w:rsidRPr="00E97ED0" w14:paraId="307A7C20" w14:textId="77777777" w:rsidTr="00743E8C">
        <w:trPr>
          <w:tblHeader/>
        </w:trPr>
        <w:tc>
          <w:tcPr>
            <w:tcW w:w="9483" w:type="dxa"/>
            <w:gridSpan w:val="6"/>
          </w:tcPr>
          <w:p w14:paraId="4E3709A9" w14:textId="77777777" w:rsidR="00743E8C" w:rsidRPr="00E97ED0" w:rsidRDefault="00743E8C" w:rsidP="00DE4ACC">
            <w:pPr>
              <w:spacing w:line="280" w:lineRule="exact"/>
              <w:jc w:val="center"/>
              <w:rPr>
                <w:rFonts w:ascii="微軟正黑體" w:eastAsia="微軟正黑體" w:hAnsi="微軟正黑體" w:cstheme="minorHAnsi"/>
                <w:b/>
                <w:bCs/>
                <w:szCs w:val="24"/>
              </w:rPr>
            </w:pPr>
            <w:r>
              <w:rPr>
                <w:rFonts w:ascii="微軟正黑體" w:eastAsia="微軟正黑體" w:hAnsi="微軟正黑體" w:cstheme="minorHAnsi" w:hint="eastAsia"/>
                <w:b/>
                <w:bCs/>
                <w:szCs w:val="24"/>
              </w:rPr>
              <w:t>按日按件計資酬金</w:t>
            </w:r>
          </w:p>
        </w:tc>
      </w:tr>
      <w:tr w:rsidR="00743E8C" w:rsidRPr="00E97ED0" w14:paraId="0B513A2E" w14:textId="77777777" w:rsidTr="00D35BD8">
        <w:trPr>
          <w:tblHeader/>
        </w:trPr>
        <w:tc>
          <w:tcPr>
            <w:tcW w:w="1119" w:type="dxa"/>
          </w:tcPr>
          <w:p w14:paraId="65F8A865" w14:textId="77777777" w:rsidR="00743E8C" w:rsidRPr="00E97ED0" w:rsidRDefault="00743E8C" w:rsidP="00DE4ACC">
            <w:pPr>
              <w:spacing w:line="280" w:lineRule="exact"/>
              <w:jc w:val="center"/>
              <w:rPr>
                <w:rFonts w:ascii="微軟正黑體" w:eastAsia="微軟正黑體" w:hAnsi="微軟正黑體" w:cstheme="minorHAnsi"/>
                <w:b/>
                <w:sz w:val="20"/>
                <w:szCs w:val="20"/>
              </w:rPr>
            </w:pPr>
            <w:r w:rsidRPr="00E97ED0">
              <w:rPr>
                <w:rFonts w:ascii="微軟正黑體" w:eastAsia="微軟正黑體" w:hAnsi="微軟正黑體" w:cstheme="minorHAnsi" w:hint="eastAsia"/>
                <w:b/>
                <w:sz w:val="20"/>
                <w:szCs w:val="20"/>
              </w:rPr>
              <w:t>年度</w:t>
            </w:r>
          </w:p>
        </w:tc>
        <w:tc>
          <w:tcPr>
            <w:tcW w:w="1524" w:type="dxa"/>
          </w:tcPr>
          <w:p w14:paraId="0F61238E" w14:textId="77777777" w:rsidR="00743E8C" w:rsidRPr="00E97ED0" w:rsidRDefault="00743E8C" w:rsidP="00DE4ACC">
            <w:pPr>
              <w:spacing w:line="280" w:lineRule="exact"/>
              <w:jc w:val="center"/>
              <w:rPr>
                <w:rFonts w:ascii="微軟正黑體" w:eastAsia="微軟正黑體" w:hAnsi="微軟正黑體" w:cstheme="minorHAnsi"/>
                <w:b/>
                <w:sz w:val="20"/>
                <w:szCs w:val="20"/>
              </w:rPr>
            </w:pPr>
            <w:r w:rsidRPr="003352EA">
              <w:rPr>
                <w:rFonts w:hint="eastAsia"/>
              </w:rPr>
              <w:t>預算</w:t>
            </w:r>
            <w:r>
              <w:rPr>
                <w:rFonts w:hint="eastAsia"/>
              </w:rPr>
              <w:t>數</w:t>
            </w:r>
            <w:r>
              <w:rPr>
                <w:rFonts w:hint="eastAsia"/>
              </w:rPr>
              <w:t>/</w:t>
            </w:r>
            <w:r>
              <w:rPr>
                <w:rFonts w:hint="eastAsia"/>
              </w:rPr>
              <w:t>千元</w:t>
            </w:r>
          </w:p>
        </w:tc>
        <w:tc>
          <w:tcPr>
            <w:tcW w:w="1524" w:type="dxa"/>
          </w:tcPr>
          <w:p w14:paraId="1C9DB18A" w14:textId="77777777" w:rsidR="00743E8C" w:rsidRPr="00E97ED0" w:rsidRDefault="00743E8C" w:rsidP="00DE4ACC">
            <w:pPr>
              <w:spacing w:line="280" w:lineRule="exact"/>
              <w:jc w:val="center"/>
              <w:rPr>
                <w:rFonts w:ascii="微軟正黑體" w:eastAsia="微軟正黑體" w:hAnsi="微軟正黑體" w:cstheme="minorHAnsi"/>
                <w:b/>
                <w:sz w:val="20"/>
                <w:szCs w:val="20"/>
              </w:rPr>
            </w:pPr>
            <w:r w:rsidRPr="003352EA">
              <w:rPr>
                <w:rFonts w:hint="eastAsia"/>
              </w:rPr>
              <w:t>決算</w:t>
            </w:r>
            <w:r>
              <w:rPr>
                <w:rFonts w:hint="eastAsia"/>
              </w:rPr>
              <w:t>數</w:t>
            </w:r>
            <w:r w:rsidRPr="003352EA">
              <w:rPr>
                <w:rFonts w:hint="eastAsia"/>
              </w:rPr>
              <w:t>/</w:t>
            </w:r>
            <w:r w:rsidRPr="003352EA">
              <w:rPr>
                <w:rFonts w:hint="eastAsia"/>
              </w:rPr>
              <w:t>千元</w:t>
            </w:r>
          </w:p>
        </w:tc>
        <w:tc>
          <w:tcPr>
            <w:tcW w:w="1524" w:type="dxa"/>
          </w:tcPr>
          <w:p w14:paraId="68B0C263" w14:textId="77777777" w:rsidR="00743E8C" w:rsidRPr="00E97ED0" w:rsidRDefault="00743E8C" w:rsidP="00DE4ACC">
            <w:pPr>
              <w:spacing w:line="280" w:lineRule="exact"/>
              <w:jc w:val="center"/>
              <w:rPr>
                <w:rFonts w:ascii="微軟正黑體" w:eastAsia="微軟正黑體" w:hAnsi="微軟正黑體" w:cstheme="minorHAnsi"/>
                <w:b/>
                <w:sz w:val="20"/>
                <w:szCs w:val="20"/>
              </w:rPr>
            </w:pPr>
            <w:r w:rsidRPr="003352EA">
              <w:rPr>
                <w:rFonts w:hint="eastAsia"/>
              </w:rPr>
              <w:t>執行率</w:t>
            </w:r>
          </w:p>
        </w:tc>
        <w:tc>
          <w:tcPr>
            <w:tcW w:w="1524" w:type="dxa"/>
            <w:shd w:val="clear" w:color="auto" w:fill="auto"/>
            <w:vAlign w:val="center"/>
          </w:tcPr>
          <w:p w14:paraId="601E4633" w14:textId="77777777" w:rsidR="00743E8C" w:rsidRPr="00743E8C" w:rsidRDefault="00743E8C" w:rsidP="00DE4ACC">
            <w:pPr>
              <w:spacing w:line="280" w:lineRule="exact"/>
              <w:jc w:val="center"/>
              <w:rPr>
                <w:rFonts w:ascii="微軟正黑體" w:eastAsia="微軟正黑體" w:hAnsi="微軟正黑體" w:cstheme="minorHAnsi"/>
                <w:b/>
                <w:sz w:val="20"/>
                <w:szCs w:val="20"/>
              </w:rPr>
            </w:pPr>
            <w:r w:rsidRPr="00743E8C">
              <w:rPr>
                <w:rFonts w:ascii="微軟正黑體" w:eastAsia="微軟正黑體" w:hAnsi="微軟正黑體" w:cstheme="minorHAnsi" w:hint="eastAsia"/>
                <w:b/>
                <w:sz w:val="20"/>
                <w:szCs w:val="20"/>
              </w:rPr>
              <w:t>剩餘數/千元</w:t>
            </w:r>
          </w:p>
        </w:tc>
        <w:tc>
          <w:tcPr>
            <w:tcW w:w="2268" w:type="dxa"/>
            <w:shd w:val="clear" w:color="auto" w:fill="auto"/>
            <w:vAlign w:val="center"/>
          </w:tcPr>
          <w:p w14:paraId="0478047F" w14:textId="77777777" w:rsidR="00743E8C" w:rsidRPr="00743E8C" w:rsidRDefault="00743E8C" w:rsidP="00DE4ACC">
            <w:pPr>
              <w:spacing w:line="280" w:lineRule="exact"/>
              <w:jc w:val="center"/>
              <w:rPr>
                <w:rFonts w:ascii="微軟正黑體" w:eastAsia="微軟正黑體" w:hAnsi="微軟正黑體" w:cstheme="minorHAnsi"/>
                <w:b/>
                <w:sz w:val="20"/>
                <w:szCs w:val="20"/>
              </w:rPr>
            </w:pPr>
            <w:r w:rsidRPr="00743E8C">
              <w:rPr>
                <w:rFonts w:ascii="微軟正黑體" w:eastAsia="微軟正黑體" w:hAnsi="微軟正黑體" w:cstheme="minorHAnsi" w:hint="eastAsia"/>
                <w:b/>
                <w:sz w:val="20"/>
                <w:szCs w:val="20"/>
              </w:rPr>
              <w:t>備註</w:t>
            </w:r>
          </w:p>
        </w:tc>
      </w:tr>
      <w:tr w:rsidR="00743E8C" w:rsidRPr="00E97ED0" w14:paraId="23B916A6" w14:textId="77777777" w:rsidTr="00D35BD8">
        <w:tc>
          <w:tcPr>
            <w:tcW w:w="1119" w:type="dxa"/>
          </w:tcPr>
          <w:p w14:paraId="4631B979" w14:textId="77777777" w:rsidR="00743E8C" w:rsidRPr="00E97ED0" w:rsidRDefault="00743E8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1524" w:type="dxa"/>
          </w:tcPr>
          <w:p w14:paraId="7CA52AB9" w14:textId="77777777" w:rsidR="00743E8C" w:rsidRPr="00E97ED0" w:rsidRDefault="00743E8C" w:rsidP="00DE4ACC">
            <w:pPr>
              <w:spacing w:line="280" w:lineRule="exact"/>
              <w:jc w:val="right"/>
              <w:rPr>
                <w:rFonts w:eastAsia="微軟正黑體" w:cstheme="minorHAnsi"/>
                <w:szCs w:val="24"/>
              </w:rPr>
            </w:pPr>
            <w:r w:rsidRPr="00F31346">
              <w:t xml:space="preserve">4,614 </w:t>
            </w:r>
          </w:p>
        </w:tc>
        <w:tc>
          <w:tcPr>
            <w:tcW w:w="1524" w:type="dxa"/>
          </w:tcPr>
          <w:p w14:paraId="6764FE41" w14:textId="77777777" w:rsidR="00743E8C" w:rsidRPr="00D34ED4" w:rsidRDefault="00743E8C" w:rsidP="00DE4ACC">
            <w:pPr>
              <w:spacing w:line="280" w:lineRule="exact"/>
              <w:jc w:val="right"/>
              <w:rPr>
                <w:rFonts w:ascii="微軟正黑體" w:eastAsia="微軟正黑體" w:hAnsi="微軟正黑體" w:cstheme="minorHAnsi"/>
                <w:b/>
                <w:szCs w:val="24"/>
              </w:rPr>
            </w:pPr>
            <w:r w:rsidRPr="00F31346">
              <w:t xml:space="preserve">3,673 </w:t>
            </w:r>
          </w:p>
        </w:tc>
        <w:tc>
          <w:tcPr>
            <w:tcW w:w="1524" w:type="dxa"/>
          </w:tcPr>
          <w:p w14:paraId="287AF7FB" w14:textId="77777777" w:rsidR="00743E8C" w:rsidRPr="005D00F1" w:rsidRDefault="00743E8C" w:rsidP="00DE4ACC">
            <w:pPr>
              <w:spacing w:line="280" w:lineRule="exact"/>
              <w:jc w:val="right"/>
              <w:rPr>
                <w:rFonts w:ascii="微軟正黑體" w:eastAsia="微軟正黑體" w:hAnsi="微軟正黑體" w:cstheme="minorHAnsi"/>
                <w:b/>
                <w:sz w:val="20"/>
                <w:szCs w:val="20"/>
              </w:rPr>
            </w:pPr>
            <w:r w:rsidRPr="00F31346">
              <w:t>79.60%</w:t>
            </w:r>
          </w:p>
        </w:tc>
        <w:tc>
          <w:tcPr>
            <w:tcW w:w="1524" w:type="dxa"/>
            <w:shd w:val="clear" w:color="auto" w:fill="auto"/>
          </w:tcPr>
          <w:p w14:paraId="10880F09" w14:textId="77777777" w:rsidR="00743E8C" w:rsidRPr="00743E8C" w:rsidRDefault="00743E8C" w:rsidP="00DE4ACC">
            <w:pPr>
              <w:spacing w:line="280" w:lineRule="exact"/>
              <w:jc w:val="right"/>
              <w:rPr>
                <w:rFonts w:ascii="微軟正黑體" w:eastAsia="微軟正黑體" w:hAnsi="微軟正黑體" w:cstheme="minorHAnsi"/>
                <w:szCs w:val="24"/>
              </w:rPr>
            </w:pPr>
            <w:r w:rsidRPr="00743E8C">
              <w:t xml:space="preserve">941 </w:t>
            </w:r>
          </w:p>
        </w:tc>
        <w:tc>
          <w:tcPr>
            <w:tcW w:w="2268" w:type="dxa"/>
            <w:shd w:val="clear" w:color="auto" w:fill="auto"/>
          </w:tcPr>
          <w:p w14:paraId="4EB57E3F" w14:textId="77777777" w:rsidR="00743E8C" w:rsidRPr="00743E8C" w:rsidRDefault="00743E8C" w:rsidP="00DE4ACC">
            <w:pPr>
              <w:spacing w:line="280" w:lineRule="exact"/>
              <w:jc w:val="center"/>
              <w:rPr>
                <w:rFonts w:eastAsia="微軟正黑體" w:cstheme="minorHAnsi"/>
                <w:szCs w:val="24"/>
              </w:rPr>
            </w:pPr>
          </w:p>
        </w:tc>
      </w:tr>
      <w:tr w:rsidR="00743E8C" w:rsidRPr="00E97ED0" w14:paraId="351E4F97" w14:textId="77777777" w:rsidTr="00D35BD8">
        <w:tc>
          <w:tcPr>
            <w:tcW w:w="1119" w:type="dxa"/>
          </w:tcPr>
          <w:p w14:paraId="0EA69707" w14:textId="77777777" w:rsidR="00743E8C" w:rsidRPr="00E97ED0" w:rsidRDefault="00743E8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1524" w:type="dxa"/>
          </w:tcPr>
          <w:p w14:paraId="27FCAE47" w14:textId="77777777" w:rsidR="00743E8C" w:rsidRPr="00E97ED0" w:rsidRDefault="00743E8C" w:rsidP="00DE4ACC">
            <w:pPr>
              <w:spacing w:line="280" w:lineRule="exact"/>
              <w:jc w:val="right"/>
              <w:rPr>
                <w:rFonts w:eastAsia="微軟正黑體" w:cstheme="minorHAnsi"/>
                <w:szCs w:val="24"/>
              </w:rPr>
            </w:pPr>
            <w:r w:rsidRPr="00F31346">
              <w:t xml:space="preserve">4,641 </w:t>
            </w:r>
          </w:p>
        </w:tc>
        <w:tc>
          <w:tcPr>
            <w:tcW w:w="1524" w:type="dxa"/>
          </w:tcPr>
          <w:p w14:paraId="23B69F41" w14:textId="77777777" w:rsidR="00743E8C" w:rsidRPr="00E97ED0" w:rsidRDefault="00743E8C" w:rsidP="00DE4ACC">
            <w:pPr>
              <w:spacing w:line="280" w:lineRule="exact"/>
              <w:jc w:val="right"/>
              <w:rPr>
                <w:rFonts w:ascii="微軟正黑體" w:eastAsia="微軟正黑體" w:hAnsi="微軟正黑體" w:cstheme="minorHAnsi"/>
                <w:szCs w:val="24"/>
              </w:rPr>
            </w:pPr>
            <w:r w:rsidRPr="00F31346">
              <w:t xml:space="preserve">4,291 </w:t>
            </w:r>
          </w:p>
        </w:tc>
        <w:tc>
          <w:tcPr>
            <w:tcW w:w="1524" w:type="dxa"/>
          </w:tcPr>
          <w:p w14:paraId="300842B4" w14:textId="77777777" w:rsidR="00743E8C" w:rsidRPr="00E97ED0" w:rsidRDefault="00743E8C" w:rsidP="00DE4ACC">
            <w:pPr>
              <w:spacing w:line="280" w:lineRule="exact"/>
              <w:jc w:val="right"/>
              <w:rPr>
                <w:rFonts w:ascii="微軟正黑體" w:eastAsia="微軟正黑體" w:hAnsi="微軟正黑體" w:cstheme="minorHAnsi"/>
                <w:sz w:val="20"/>
                <w:szCs w:val="20"/>
              </w:rPr>
            </w:pPr>
            <w:r w:rsidRPr="00F31346">
              <w:t>92.47%</w:t>
            </w:r>
          </w:p>
        </w:tc>
        <w:tc>
          <w:tcPr>
            <w:tcW w:w="1524" w:type="dxa"/>
            <w:shd w:val="clear" w:color="auto" w:fill="auto"/>
          </w:tcPr>
          <w:p w14:paraId="47F3AECF" w14:textId="77777777" w:rsidR="00743E8C" w:rsidRPr="00743E8C" w:rsidRDefault="00743E8C" w:rsidP="00DE4ACC">
            <w:pPr>
              <w:spacing w:line="280" w:lineRule="exact"/>
              <w:jc w:val="right"/>
              <w:rPr>
                <w:rFonts w:ascii="微軟正黑體" w:eastAsia="微軟正黑體" w:hAnsi="微軟正黑體" w:cstheme="minorHAnsi"/>
                <w:szCs w:val="24"/>
              </w:rPr>
            </w:pPr>
            <w:r w:rsidRPr="00743E8C">
              <w:t xml:space="preserve">350 </w:t>
            </w:r>
          </w:p>
        </w:tc>
        <w:tc>
          <w:tcPr>
            <w:tcW w:w="2268" w:type="dxa"/>
            <w:shd w:val="clear" w:color="auto" w:fill="auto"/>
          </w:tcPr>
          <w:p w14:paraId="6A86169C" w14:textId="77777777" w:rsidR="00743E8C" w:rsidRPr="00743E8C" w:rsidRDefault="00743E8C" w:rsidP="00DE4ACC">
            <w:pPr>
              <w:spacing w:line="280" w:lineRule="exact"/>
              <w:jc w:val="center"/>
              <w:rPr>
                <w:rFonts w:eastAsia="微軟正黑體" w:cstheme="minorHAnsi"/>
                <w:szCs w:val="24"/>
              </w:rPr>
            </w:pPr>
          </w:p>
        </w:tc>
      </w:tr>
      <w:tr w:rsidR="00743E8C" w:rsidRPr="00E97ED0" w14:paraId="14374979" w14:textId="77777777" w:rsidTr="00D35BD8">
        <w:tc>
          <w:tcPr>
            <w:tcW w:w="1119" w:type="dxa"/>
          </w:tcPr>
          <w:p w14:paraId="66E0236D" w14:textId="77777777" w:rsidR="00743E8C" w:rsidRPr="00E97ED0" w:rsidRDefault="00743E8C" w:rsidP="00DE4ACC">
            <w:pPr>
              <w:spacing w:line="280" w:lineRule="exact"/>
              <w:jc w:val="center"/>
              <w:rPr>
                <w:rFonts w:ascii="微軟正黑體" w:eastAsia="微軟正黑體" w:hAnsi="微軟正黑體" w:cstheme="minorHAnsi"/>
                <w:szCs w:val="24"/>
              </w:rPr>
            </w:pPr>
            <w:bookmarkStart w:id="44" w:name="_Hlk230106061"/>
            <w:r w:rsidRPr="00E97ED0">
              <w:rPr>
                <w:rFonts w:ascii="微軟正黑體" w:eastAsia="微軟正黑體" w:hAnsi="微軟正黑體" w:cstheme="minorHAnsi" w:hint="eastAsia"/>
                <w:szCs w:val="24"/>
              </w:rPr>
              <w:t>114</w:t>
            </w:r>
          </w:p>
        </w:tc>
        <w:tc>
          <w:tcPr>
            <w:tcW w:w="1524" w:type="dxa"/>
          </w:tcPr>
          <w:p w14:paraId="3FBC090E" w14:textId="77777777" w:rsidR="00743E8C" w:rsidRPr="00E97ED0" w:rsidRDefault="00743E8C" w:rsidP="00DE4ACC">
            <w:pPr>
              <w:spacing w:line="280" w:lineRule="exact"/>
              <w:jc w:val="right"/>
              <w:rPr>
                <w:rFonts w:eastAsia="微軟正黑體" w:cstheme="minorHAnsi"/>
                <w:szCs w:val="24"/>
              </w:rPr>
            </w:pPr>
            <w:r w:rsidRPr="00F31346">
              <w:t xml:space="preserve">5,161 </w:t>
            </w:r>
          </w:p>
        </w:tc>
        <w:tc>
          <w:tcPr>
            <w:tcW w:w="1524" w:type="dxa"/>
          </w:tcPr>
          <w:p w14:paraId="2BB42C9D" w14:textId="77777777" w:rsidR="00743E8C" w:rsidRPr="00CC6A7E" w:rsidRDefault="00743E8C" w:rsidP="00DE4ACC">
            <w:pPr>
              <w:spacing w:line="280" w:lineRule="exact"/>
              <w:jc w:val="right"/>
              <w:rPr>
                <w:rFonts w:eastAsia="微軟正黑體" w:cstheme="minorHAnsi"/>
                <w:szCs w:val="24"/>
              </w:rPr>
            </w:pPr>
            <w:r w:rsidRPr="00F31346">
              <w:t xml:space="preserve">3,675 </w:t>
            </w:r>
          </w:p>
        </w:tc>
        <w:tc>
          <w:tcPr>
            <w:tcW w:w="1524" w:type="dxa"/>
          </w:tcPr>
          <w:p w14:paraId="3A20444C" w14:textId="77777777" w:rsidR="00743E8C" w:rsidRPr="00D34ED4" w:rsidRDefault="00743E8C" w:rsidP="00DE4ACC">
            <w:pPr>
              <w:spacing w:line="280" w:lineRule="exact"/>
              <w:jc w:val="right"/>
              <w:rPr>
                <w:rFonts w:ascii="微軟正黑體" w:eastAsia="微軟正黑體" w:hAnsi="微軟正黑體" w:cstheme="minorHAnsi"/>
                <w:b/>
                <w:sz w:val="22"/>
              </w:rPr>
            </w:pPr>
            <w:r w:rsidRPr="00F31346">
              <w:t>71.20%</w:t>
            </w:r>
          </w:p>
        </w:tc>
        <w:tc>
          <w:tcPr>
            <w:tcW w:w="1524" w:type="dxa"/>
            <w:shd w:val="clear" w:color="auto" w:fill="auto"/>
          </w:tcPr>
          <w:p w14:paraId="02E8F978" w14:textId="77777777" w:rsidR="00743E8C" w:rsidRPr="00743E8C" w:rsidRDefault="00743E8C" w:rsidP="00DE4ACC">
            <w:pPr>
              <w:spacing w:line="280" w:lineRule="exact"/>
              <w:jc w:val="right"/>
              <w:rPr>
                <w:rFonts w:ascii="微軟正黑體" w:eastAsia="微軟正黑體" w:hAnsi="微軟正黑體" w:cstheme="minorHAnsi"/>
                <w:szCs w:val="24"/>
              </w:rPr>
            </w:pPr>
            <w:r w:rsidRPr="00743E8C">
              <w:t xml:space="preserve">1,486 </w:t>
            </w:r>
          </w:p>
        </w:tc>
        <w:tc>
          <w:tcPr>
            <w:tcW w:w="2268" w:type="dxa"/>
            <w:shd w:val="clear" w:color="auto" w:fill="auto"/>
          </w:tcPr>
          <w:p w14:paraId="3EB72C9D" w14:textId="77777777" w:rsidR="00743E8C" w:rsidRPr="00743E8C" w:rsidRDefault="00743E8C" w:rsidP="00DE4ACC">
            <w:pPr>
              <w:spacing w:line="280" w:lineRule="exact"/>
              <w:jc w:val="center"/>
              <w:rPr>
                <w:rFonts w:eastAsia="微軟正黑體" w:cstheme="minorHAnsi"/>
                <w:szCs w:val="24"/>
              </w:rPr>
            </w:pPr>
          </w:p>
        </w:tc>
      </w:tr>
      <w:bookmarkEnd w:id="44"/>
      <w:tr w:rsidR="00743E8C" w:rsidRPr="00E97ED0" w14:paraId="7F70D227" w14:textId="77777777" w:rsidTr="00D35BD8">
        <w:tc>
          <w:tcPr>
            <w:tcW w:w="1119" w:type="dxa"/>
          </w:tcPr>
          <w:p w14:paraId="280A678C" w14:textId="77777777" w:rsidR="00743E8C" w:rsidRPr="00E97ED0" w:rsidRDefault="00743E8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1524" w:type="dxa"/>
          </w:tcPr>
          <w:p w14:paraId="32332F5D" w14:textId="77777777" w:rsidR="00743E8C" w:rsidRPr="00E97ED0" w:rsidRDefault="00743E8C" w:rsidP="00DE4ACC">
            <w:pPr>
              <w:spacing w:line="280" w:lineRule="exact"/>
              <w:jc w:val="center"/>
              <w:rPr>
                <w:rFonts w:eastAsia="微軟正黑體" w:cstheme="minorHAnsi"/>
                <w:szCs w:val="24"/>
              </w:rPr>
            </w:pPr>
            <w:r w:rsidRPr="00FA61C7">
              <w:rPr>
                <w:rFonts w:eastAsia="微軟正黑體" w:cstheme="minorHAnsi"/>
                <w:szCs w:val="24"/>
              </w:rPr>
              <w:t>5,433</w:t>
            </w:r>
          </w:p>
        </w:tc>
        <w:tc>
          <w:tcPr>
            <w:tcW w:w="1524" w:type="dxa"/>
          </w:tcPr>
          <w:p w14:paraId="70ACE3E4" w14:textId="77777777" w:rsidR="00743E8C" w:rsidRPr="00552F3C" w:rsidRDefault="00743E8C" w:rsidP="00DE4ACC">
            <w:pPr>
              <w:spacing w:line="280" w:lineRule="exact"/>
              <w:jc w:val="center"/>
              <w:rPr>
                <w:rFonts w:eastAsia="微軟正黑體" w:cstheme="minorHAnsi"/>
                <w:szCs w:val="24"/>
              </w:rPr>
            </w:pPr>
            <w:r>
              <w:rPr>
                <w:rFonts w:eastAsia="微軟正黑體" w:cstheme="minorHAnsi" w:hint="eastAsia"/>
                <w:szCs w:val="24"/>
              </w:rPr>
              <w:t>1</w:t>
            </w:r>
            <w:r>
              <w:rPr>
                <w:rFonts w:eastAsia="微軟正黑體" w:cstheme="minorHAnsi"/>
                <w:szCs w:val="24"/>
              </w:rPr>
              <w:t>,166</w:t>
            </w:r>
          </w:p>
        </w:tc>
        <w:tc>
          <w:tcPr>
            <w:tcW w:w="1524" w:type="dxa"/>
          </w:tcPr>
          <w:p w14:paraId="33AF8B41" w14:textId="77777777" w:rsidR="00743E8C" w:rsidRPr="00552F3C" w:rsidRDefault="00743E8C" w:rsidP="00DE4ACC">
            <w:pPr>
              <w:spacing w:line="280" w:lineRule="exact"/>
              <w:jc w:val="center"/>
              <w:rPr>
                <w:rFonts w:eastAsia="微軟正黑體" w:cstheme="minorHAnsi"/>
                <w:szCs w:val="24"/>
              </w:rPr>
            </w:pPr>
            <w:r>
              <w:rPr>
                <w:rFonts w:eastAsia="微軟正黑體" w:cstheme="minorHAnsi"/>
                <w:szCs w:val="24"/>
              </w:rPr>
              <w:t>21</w:t>
            </w:r>
            <w:r w:rsidRPr="00552F3C">
              <w:rPr>
                <w:rFonts w:eastAsia="微軟正黑體" w:cstheme="minorHAnsi"/>
                <w:szCs w:val="24"/>
              </w:rPr>
              <w:t>.</w:t>
            </w:r>
            <w:r>
              <w:rPr>
                <w:rFonts w:eastAsia="微軟正黑體" w:cstheme="minorHAnsi"/>
                <w:szCs w:val="24"/>
              </w:rPr>
              <w:t>46</w:t>
            </w:r>
            <w:r w:rsidRPr="00552F3C">
              <w:rPr>
                <w:rFonts w:eastAsia="微軟正黑體" w:cstheme="minorHAnsi"/>
                <w:szCs w:val="24"/>
              </w:rPr>
              <w:t>％</w:t>
            </w:r>
          </w:p>
        </w:tc>
        <w:tc>
          <w:tcPr>
            <w:tcW w:w="1524" w:type="dxa"/>
            <w:shd w:val="clear" w:color="auto" w:fill="auto"/>
          </w:tcPr>
          <w:p w14:paraId="707E05F7" w14:textId="77777777" w:rsidR="00743E8C" w:rsidRPr="00743E8C" w:rsidRDefault="00743E8C" w:rsidP="00DE4ACC">
            <w:pPr>
              <w:spacing w:line="280" w:lineRule="exact"/>
              <w:jc w:val="right"/>
              <w:rPr>
                <w:rFonts w:ascii="微軟正黑體" w:eastAsia="微軟正黑體" w:hAnsi="微軟正黑體" w:cstheme="minorHAnsi"/>
                <w:szCs w:val="24"/>
              </w:rPr>
            </w:pPr>
          </w:p>
        </w:tc>
        <w:tc>
          <w:tcPr>
            <w:tcW w:w="2268" w:type="dxa"/>
            <w:shd w:val="clear" w:color="auto" w:fill="auto"/>
          </w:tcPr>
          <w:p w14:paraId="2DB7CE44" w14:textId="77777777" w:rsidR="00743E8C" w:rsidRPr="00743E8C" w:rsidRDefault="00743E8C" w:rsidP="00DE4ACC">
            <w:pPr>
              <w:spacing w:line="280" w:lineRule="exact"/>
              <w:jc w:val="right"/>
              <w:rPr>
                <w:rFonts w:ascii="微軟正黑體" w:eastAsia="微軟正黑體" w:hAnsi="微軟正黑體" w:cstheme="minorHAnsi"/>
                <w:sz w:val="20"/>
                <w:szCs w:val="20"/>
              </w:rPr>
            </w:pPr>
            <w:r w:rsidRPr="00743E8C">
              <w:rPr>
                <w:rFonts w:ascii="微軟正黑體" w:eastAsia="微軟正黑體" w:hAnsi="微軟正黑體" w:cstheme="minorHAnsi" w:hint="eastAsia"/>
                <w:sz w:val="20"/>
                <w:szCs w:val="20"/>
              </w:rPr>
              <w:t>截至1</w:t>
            </w:r>
            <w:r w:rsidRPr="00743E8C">
              <w:rPr>
                <w:rFonts w:ascii="微軟正黑體" w:eastAsia="微軟正黑體" w:hAnsi="微軟正黑體" w:cstheme="minorHAnsi"/>
                <w:sz w:val="20"/>
                <w:szCs w:val="20"/>
              </w:rPr>
              <w:t>15</w:t>
            </w:r>
            <w:r w:rsidRPr="00743E8C">
              <w:rPr>
                <w:rFonts w:ascii="微軟正黑體" w:eastAsia="微軟正黑體" w:hAnsi="微軟正黑體" w:cstheme="minorHAnsi" w:hint="eastAsia"/>
                <w:sz w:val="20"/>
                <w:szCs w:val="20"/>
              </w:rPr>
              <w:t>年4月3</w:t>
            </w:r>
            <w:r w:rsidRPr="00743E8C">
              <w:rPr>
                <w:rFonts w:ascii="微軟正黑體" w:eastAsia="微軟正黑體" w:hAnsi="微軟正黑體" w:cstheme="minorHAnsi"/>
                <w:sz w:val="20"/>
                <w:szCs w:val="20"/>
              </w:rPr>
              <w:t>0</w:t>
            </w:r>
            <w:r w:rsidRPr="00743E8C">
              <w:rPr>
                <w:rFonts w:ascii="微軟正黑體" w:eastAsia="微軟正黑體" w:hAnsi="微軟正黑體" w:cstheme="minorHAnsi" w:hint="eastAsia"/>
                <w:sz w:val="20"/>
                <w:szCs w:val="20"/>
              </w:rPr>
              <w:t>日</w:t>
            </w:r>
          </w:p>
        </w:tc>
      </w:tr>
    </w:tbl>
    <w:bookmarkEnd w:id="39"/>
    <w:p w14:paraId="263B1F00" w14:textId="77777777" w:rsidR="00743E8C" w:rsidRPr="005B2C89" w:rsidRDefault="00743E8C" w:rsidP="009E49AF">
      <w:pPr>
        <w:pStyle w:val="10"/>
      </w:pPr>
      <w:r w:rsidRPr="005B2C89">
        <w:rPr>
          <w:rFonts w:hint="eastAsia"/>
        </w:rPr>
        <w:t>經查</w:t>
      </w:r>
      <w:r>
        <w:rPr>
          <w:rFonts w:hint="eastAsia"/>
        </w:rPr>
        <w:t>總統府</w:t>
      </w:r>
      <w:r w:rsidRPr="005B2C89">
        <w:rPr>
          <w:rFonts w:hint="eastAsia"/>
        </w:rPr>
        <w:t>近三年決算書資料如上表，「</w:t>
      </w:r>
      <w:r>
        <w:rPr>
          <w:rFonts w:hint="eastAsia"/>
        </w:rPr>
        <w:t>按日按件計資酬金</w:t>
      </w:r>
      <w:r w:rsidRPr="005B2C89">
        <w:rPr>
          <w:rFonts w:hint="eastAsia"/>
        </w:rPr>
        <w:t>」近三年平均執行率為</w:t>
      </w:r>
      <w:r>
        <w:rPr>
          <w:rFonts w:hint="eastAsia"/>
        </w:rPr>
        <w:t>8</w:t>
      </w:r>
      <w:r>
        <w:t>1</w:t>
      </w:r>
      <w:r w:rsidRPr="005B2C89">
        <w:rPr>
          <w:rFonts w:hint="eastAsia"/>
        </w:rPr>
        <w:t>.</w:t>
      </w:r>
      <w:r>
        <w:t>09</w:t>
      </w:r>
      <w:r>
        <w:rPr>
          <w:rFonts w:hint="eastAsia"/>
        </w:rPr>
        <w:t>％，</w:t>
      </w:r>
      <w:r w:rsidRPr="00FA61C7">
        <w:rPr>
          <w:rFonts w:hint="eastAsia"/>
          <w:b/>
          <w:bCs/>
          <w:u w:val="thick"/>
        </w:rPr>
        <w:t>而1</w:t>
      </w:r>
      <w:r w:rsidRPr="00FA61C7">
        <w:rPr>
          <w:b/>
          <w:bCs/>
          <w:u w:val="thick"/>
        </w:rPr>
        <w:t>14</w:t>
      </w:r>
      <w:r w:rsidRPr="00FA61C7">
        <w:rPr>
          <w:rFonts w:hint="eastAsia"/>
          <w:b/>
          <w:bCs/>
          <w:u w:val="thick"/>
        </w:rPr>
        <w:t>年度執行率更低至僅有7</w:t>
      </w:r>
      <w:r w:rsidRPr="00FA61C7">
        <w:rPr>
          <w:b/>
          <w:bCs/>
          <w:u w:val="thick"/>
        </w:rPr>
        <w:t>1.2</w:t>
      </w:r>
      <w:r w:rsidRPr="00FA61C7">
        <w:rPr>
          <w:rFonts w:hint="eastAsia"/>
          <w:b/>
          <w:bCs/>
          <w:u w:val="thick"/>
        </w:rPr>
        <w:t>％</w:t>
      </w:r>
      <w:r>
        <w:rPr>
          <w:rFonts w:hint="eastAsia"/>
        </w:rPr>
        <w:t>；</w:t>
      </w:r>
      <w:r w:rsidRPr="005B2C89">
        <w:rPr>
          <w:rFonts w:hint="eastAsia"/>
        </w:rPr>
        <w:t>剩餘數從</w:t>
      </w:r>
      <w:r>
        <w:rPr>
          <w:rFonts w:hint="eastAsia"/>
        </w:rPr>
        <w:t>3</w:t>
      </w:r>
      <w:r>
        <w:t>50</w:t>
      </w:r>
      <w:r w:rsidRPr="005B2C89">
        <w:rPr>
          <w:rFonts w:hint="eastAsia"/>
        </w:rPr>
        <w:t>千元到</w:t>
      </w:r>
      <w:r>
        <w:rPr>
          <w:rFonts w:hint="eastAsia"/>
        </w:rPr>
        <w:t>1</w:t>
      </w:r>
      <w:r>
        <w:t>,486</w:t>
      </w:r>
      <w:r w:rsidRPr="005B2C89">
        <w:rPr>
          <w:rFonts w:hint="eastAsia"/>
        </w:rPr>
        <w:t>千元之間，顯見，原有經費編列與實際需求之間存有相當落差，致使經費運用效益低落。</w:t>
      </w:r>
    </w:p>
    <w:p w14:paraId="45210E27" w14:textId="77777777" w:rsidR="00743E8C" w:rsidRPr="005B2C89" w:rsidRDefault="00743E8C" w:rsidP="009E49AF">
      <w:pPr>
        <w:pStyle w:val="10"/>
      </w:pPr>
      <w:r w:rsidRPr="005B2C89">
        <w:rPr>
          <w:rFonts w:hint="eastAsia"/>
        </w:rPr>
        <w:t>然，115年中央政府總預算連同特別預算，已需舉債高達4千億元。政府各單位更應量入為出、撙節公帑，減列非必要、非急迫性的支出，以降低國庫舉債、債留子孫的壓力。</w:t>
      </w:r>
    </w:p>
    <w:p w14:paraId="2028CF21" w14:textId="77777777" w:rsidR="00743E8C" w:rsidRPr="005B2C89" w:rsidRDefault="00743E8C" w:rsidP="009E49AF">
      <w:pPr>
        <w:pStyle w:val="10"/>
      </w:pPr>
      <w:r w:rsidRPr="005B2C89">
        <w:rPr>
          <w:rFonts w:hint="eastAsia"/>
        </w:rPr>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0C55DCDE" w14:textId="589EDA1C" w:rsidR="008D6D47" w:rsidRDefault="00743E8C" w:rsidP="009E49AF">
      <w:pPr>
        <w:pStyle w:val="10"/>
      </w:pPr>
      <w:r w:rsidRPr="005B2C89">
        <w:rPr>
          <w:rFonts w:hint="eastAsia"/>
        </w:rPr>
        <w:t>惟</w:t>
      </w:r>
      <w:r>
        <w:rPr>
          <w:rFonts w:hint="eastAsia"/>
        </w:rPr>
        <w:t>總統府</w:t>
      </w:r>
      <w:r w:rsidRPr="005B2C89">
        <w:rPr>
          <w:rFonts w:hint="eastAsia"/>
        </w:rPr>
        <w:t>115年度預算案仍編列「</w:t>
      </w:r>
      <w:r>
        <w:rPr>
          <w:rFonts w:hint="eastAsia"/>
        </w:rPr>
        <w:t>按日按件計資酬金</w:t>
      </w:r>
      <w:r w:rsidRPr="005B2C89">
        <w:rPr>
          <w:rFonts w:hint="eastAsia"/>
        </w:rPr>
        <w:t>」</w:t>
      </w:r>
      <w:r w:rsidRPr="00FA61C7">
        <w:t>5,433</w:t>
      </w:r>
      <w:r w:rsidRPr="005B2C89">
        <w:rPr>
          <w:rFonts w:hint="eastAsia"/>
        </w:rPr>
        <w:t>千元，與114年法定預算相</w:t>
      </w:r>
      <w:r>
        <w:rPr>
          <w:rFonts w:hint="eastAsia"/>
        </w:rPr>
        <w:t>比，</w:t>
      </w:r>
      <w:r w:rsidRPr="00FA61C7">
        <w:rPr>
          <w:rFonts w:hint="eastAsia"/>
        </w:rPr>
        <w:t>增列272千元，成長比例5.27%</w:t>
      </w:r>
      <w:r w:rsidRPr="00552F3C">
        <w:rPr>
          <w:rFonts w:hint="eastAsia"/>
        </w:rPr>
        <w:t>。</w:t>
      </w:r>
      <w:r w:rsidRPr="005B2C89">
        <w:rPr>
          <w:rFonts w:hint="eastAsia"/>
        </w:rPr>
        <w:t>為兌現賴總統對美方的承諾，且為配合國防支出大幅增加之影響而必須撙節經費，</w:t>
      </w:r>
      <w:r w:rsidRPr="008C300A">
        <w:rPr>
          <w:rFonts w:hint="eastAsia"/>
          <w:b/>
          <w:u w:val="thick"/>
        </w:rPr>
        <w:t>爰提案減列</w:t>
      </w:r>
      <w:r>
        <w:rPr>
          <w:rFonts w:hint="eastAsia"/>
          <w:b/>
          <w:u w:val="thick"/>
        </w:rPr>
        <w:t>1</w:t>
      </w:r>
      <w:r>
        <w:rPr>
          <w:b/>
          <w:u w:val="thick"/>
        </w:rPr>
        <w:t>35</w:t>
      </w:r>
      <w:r w:rsidRPr="008C300A">
        <w:rPr>
          <w:rFonts w:hint="eastAsia"/>
          <w:b/>
          <w:u w:val="thick"/>
        </w:rPr>
        <w:t>萬元整（以</w:t>
      </w:r>
      <w:r>
        <w:rPr>
          <w:rFonts w:hint="eastAsia"/>
          <w:b/>
          <w:u w:val="thick"/>
        </w:rPr>
        <w:t>執行率7</w:t>
      </w:r>
      <w:r>
        <w:rPr>
          <w:b/>
          <w:u w:val="thick"/>
        </w:rPr>
        <w:t>5</w:t>
      </w:r>
      <w:r>
        <w:rPr>
          <w:rFonts w:hint="eastAsia"/>
          <w:b/>
          <w:u w:val="thick"/>
        </w:rPr>
        <w:t>％</w:t>
      </w:r>
      <w:r w:rsidRPr="008C300A">
        <w:rPr>
          <w:rFonts w:hint="eastAsia"/>
          <w:b/>
          <w:u w:val="thick"/>
        </w:rPr>
        <w:t>計算）且不得流用勻支</w:t>
      </w:r>
      <w:r w:rsidRPr="005B2C89">
        <w:rPr>
          <w:rFonts w:hint="eastAsia"/>
        </w:rPr>
        <w:t>，以避免有限之財政資源閒置與浪費。</w:t>
      </w:r>
      <w:r w:rsidR="008D6D47" w:rsidRPr="005A214C">
        <w:t>【</w:t>
      </w:r>
      <w:r w:rsidR="008D6D47">
        <w:t>6</w:t>
      </w:r>
      <w:r w:rsidR="008D6D47" w:rsidRPr="005A214C">
        <w:t>】</w:t>
      </w:r>
    </w:p>
    <w:p w14:paraId="5506DFDA" w14:textId="77777777" w:rsidR="008D6D47" w:rsidRDefault="008D6D47" w:rsidP="00D35BD8">
      <w:pPr>
        <w:pStyle w:val="21"/>
      </w:pPr>
      <w:r>
        <w:t>提案人：翁曉玲</w:t>
      </w:r>
    </w:p>
    <w:p w14:paraId="3E4F1BF0" w14:textId="03C698AC" w:rsidR="008D6D47" w:rsidRDefault="008D6D47" w:rsidP="00D35BD8">
      <w:pPr>
        <w:pStyle w:val="21"/>
      </w:pPr>
      <w:r>
        <w:lastRenderedPageBreak/>
        <w:t>連署人：許宇甄　林倩綺</w:t>
      </w:r>
    </w:p>
    <w:p w14:paraId="78AD17FF" w14:textId="77777777" w:rsidR="009E49AF" w:rsidRDefault="009E49AF" w:rsidP="009E49AF">
      <w:pPr>
        <w:pStyle w:val="1"/>
      </w:pPr>
      <w:r w:rsidRPr="00F34348">
        <w:rPr>
          <w:rFonts w:hint="eastAsia"/>
        </w:rPr>
        <w:t>115年度</w:t>
      </w:r>
      <w:r>
        <w:rPr>
          <w:rFonts w:hint="eastAsia"/>
        </w:rPr>
        <w:t>總統府</w:t>
      </w:r>
      <w:r w:rsidRPr="00F34348">
        <w:rPr>
          <w:rFonts w:hint="eastAsia"/>
        </w:rPr>
        <w:t>預算案於第1目「一般行政」項下「基本行政工作維持」中「業務費」之「特別費」</w:t>
      </w:r>
      <w:r w:rsidRPr="00310F13">
        <w:rPr>
          <w:rFonts w:hint="eastAsia"/>
        </w:rPr>
        <w:t>3,006千元</w:t>
      </w:r>
      <w:r>
        <w:rPr>
          <w:rFonts w:hint="eastAsia"/>
        </w:rPr>
        <w:t>，係</w:t>
      </w:r>
      <w:r w:rsidRPr="00310F13">
        <w:rPr>
          <w:rFonts w:hint="eastAsia"/>
        </w:rPr>
        <w:t>副總統2,061千元（171,700元x12月）</w:t>
      </w:r>
      <w:r>
        <w:rPr>
          <w:rFonts w:hint="eastAsia"/>
        </w:rPr>
        <w:t>、</w:t>
      </w:r>
      <w:r w:rsidRPr="00310F13">
        <w:rPr>
          <w:rFonts w:hint="eastAsia"/>
        </w:rPr>
        <w:t>秘書長477千元</w:t>
      </w:r>
      <w:r>
        <w:rPr>
          <w:rFonts w:hint="eastAsia"/>
        </w:rPr>
        <w:t>（</w:t>
      </w:r>
      <w:r w:rsidRPr="00310F13">
        <w:rPr>
          <w:rFonts w:hint="eastAsia"/>
        </w:rPr>
        <w:t>39,700元x12月），副秘書長468千元（19,500元x12月x2人）。</w:t>
      </w:r>
    </w:p>
    <w:p w14:paraId="237E785E" w14:textId="77777777" w:rsidR="009E49AF" w:rsidRPr="00F34348" w:rsidRDefault="009E49AF" w:rsidP="009E49AF">
      <w:pPr>
        <w:pStyle w:val="10"/>
      </w:pPr>
      <w:r w:rsidRPr="00F34348">
        <w:rPr>
          <w:rFonts w:hint="eastAsia"/>
        </w:rPr>
        <w:t>依照行政院</w:t>
      </w:r>
      <w:r w:rsidRPr="00F34348">
        <w:t>95</w:t>
      </w:r>
      <w:r w:rsidRPr="00F34348">
        <w:rPr>
          <w:rFonts w:hint="eastAsia"/>
        </w:rPr>
        <w:t>年</w:t>
      </w:r>
      <w:r w:rsidRPr="00F34348">
        <w:t>12</w:t>
      </w:r>
      <w:r w:rsidRPr="00F34348">
        <w:rPr>
          <w:rFonts w:hint="eastAsia"/>
        </w:rPr>
        <w:t>月</w:t>
      </w:r>
      <w:r w:rsidRPr="00F34348">
        <w:t>29</w:t>
      </w:r>
      <w:r w:rsidRPr="00F34348">
        <w:rPr>
          <w:rFonts w:hint="eastAsia"/>
        </w:rPr>
        <w:t>日院授主忠字第</w:t>
      </w:r>
      <w:r w:rsidRPr="00F34348">
        <w:t>0950007913</w:t>
      </w:r>
      <w:r w:rsidRPr="00F34348">
        <w:rPr>
          <w:rFonts w:hint="eastAsia"/>
        </w:rPr>
        <w:t>號函，各級政府機關特別費支用規定之特別費使用範圍，係婚喪喜慶之禮金及招待、餽（捐）贈及慰問等支出。恐非屬各項施政計畫執行之必要項目。</w:t>
      </w:r>
    </w:p>
    <w:p w14:paraId="45DC62D3" w14:textId="77777777" w:rsidR="009E49AF" w:rsidRPr="00F34348" w:rsidRDefault="009E49AF" w:rsidP="009E49AF">
      <w:pPr>
        <w:pStyle w:val="10"/>
      </w:pPr>
      <w:r w:rsidRPr="00F34348">
        <w:rPr>
          <w:rFonts w:hint="eastAsia"/>
        </w:rPr>
        <w:t>然，115年中央政府總預算連同特別預算，已需舉債高達4千億元。政府各單位更應量入為出、撙節公帑，</w:t>
      </w:r>
      <w:r w:rsidRPr="00310F13">
        <w:rPr>
          <w:rFonts w:hint="eastAsia"/>
          <w:b/>
          <w:u w:val="thick"/>
        </w:rPr>
        <w:t>減列非必要、非急迫性的支出</w:t>
      </w:r>
      <w:r w:rsidRPr="00F34348">
        <w:rPr>
          <w:rFonts w:hint="eastAsia"/>
        </w:rPr>
        <w:t>，以降低國庫舉債、債留子孫的壓力。</w:t>
      </w:r>
    </w:p>
    <w:p w14:paraId="32C806BB" w14:textId="4EE9BE58" w:rsidR="009E49AF" w:rsidRPr="00310F13" w:rsidRDefault="009E49AF" w:rsidP="009E49AF">
      <w:pPr>
        <w:pStyle w:val="10"/>
        <w:rPr>
          <w:b/>
          <w:u w:val="thick"/>
        </w:rPr>
      </w:pPr>
      <w:r w:rsidRPr="00F34348">
        <w:rPr>
          <w:rFonts w:hint="eastAsia"/>
        </w:rPr>
        <w:t>且，賴總統為回應美國對台灣應大幅增加國防支出的強硬立場與關切壓力，115</w:t>
      </w:r>
      <w:r w:rsidR="002318B2">
        <w:rPr>
          <w:rFonts w:hint="eastAsia"/>
        </w:rPr>
        <w:t>年度國防支出已創下歷史新高</w:t>
      </w:r>
      <w:r w:rsidR="00237378">
        <w:rPr>
          <w:rFonts w:hint="eastAsia"/>
        </w:rPr>
        <w:t>，</w:t>
      </w:r>
      <w:r w:rsidRPr="00F34348">
        <w:rPr>
          <w:rFonts w:hint="eastAsia"/>
        </w:rPr>
        <w:t>達9,495</w:t>
      </w:r>
      <w:r w:rsidR="002318B2">
        <w:rPr>
          <w:rFonts w:hint="eastAsia"/>
        </w:rPr>
        <w:t>億新台幣</w:t>
      </w:r>
      <w:r w:rsidR="00237378">
        <w:rPr>
          <w:rFonts w:hint="eastAsia"/>
        </w:rPr>
        <w:t>，</w:t>
      </w:r>
      <w:r w:rsidRPr="00F34348">
        <w:rPr>
          <w:rFonts w:hint="eastAsia"/>
        </w:rPr>
        <w:t>較去年度相比暴增1,768</w:t>
      </w:r>
      <w:r w:rsidR="002318B2">
        <w:rPr>
          <w:rFonts w:hint="eastAsia"/>
        </w:rPr>
        <w:t>億</w:t>
      </w:r>
      <w:r w:rsidR="00237378">
        <w:rPr>
          <w:rFonts w:hint="eastAsia"/>
        </w:rPr>
        <w:t>，</w:t>
      </w:r>
      <w:r w:rsidRPr="00F34348">
        <w:rPr>
          <w:rFonts w:hint="eastAsia"/>
        </w:rPr>
        <w:t>漲幅達16%，負擔不可謂不重；大舉增加國防支出，必定會嚴重排擠年度的教育、文化、經濟發展、社會福利等支出。亦即，</w:t>
      </w:r>
      <w:r w:rsidRPr="00310F13">
        <w:rPr>
          <w:rFonts w:hint="eastAsia"/>
          <w:b/>
          <w:u w:val="thick"/>
        </w:rPr>
        <w:t>各部會應勒緊褲帶，共體時艱、以撙節非必要支出的具體行動，來呼應賴總統對美方要求大幅增加國防支出的承諾。</w:t>
      </w:r>
    </w:p>
    <w:p w14:paraId="6BF08D9B" w14:textId="3EB6F1C0" w:rsidR="008D6D47" w:rsidRDefault="009E49AF" w:rsidP="009E49AF">
      <w:pPr>
        <w:pStyle w:val="10"/>
      </w:pPr>
      <w:r w:rsidRPr="003C1DC4">
        <w:rPr>
          <w:rFonts w:hint="eastAsia"/>
        </w:rPr>
        <w:t>有鑑於總統府所編之「特別費」，係婚喪喜慶之禮金及招待、餽（捐）贈及慰問等支出，非屬各項施政計畫執行之必要項目。</w:t>
      </w:r>
      <w:r w:rsidRPr="003C1DC4">
        <w:rPr>
          <w:rFonts w:hint="eastAsia"/>
          <w:b/>
          <w:u w:val="thick"/>
        </w:rPr>
        <w:t>為兌現賴總統對美方的承諾，且配合國防支出大幅增加之影響而必須撙節經費</w:t>
      </w:r>
      <w:r w:rsidRPr="003C1DC4">
        <w:rPr>
          <w:rFonts w:hint="eastAsia"/>
        </w:rPr>
        <w:t>，</w:t>
      </w:r>
      <w:r w:rsidRPr="003C1DC4">
        <w:rPr>
          <w:rFonts w:hint="eastAsia"/>
          <w:b/>
          <w:u w:val="thick"/>
        </w:rPr>
        <w:t>爰提案減列五成共計150萬元整並凍結150萬6千元整，且不得流用勻支</w:t>
      </w:r>
      <w:r w:rsidRPr="003C1DC4">
        <w:rPr>
          <w:rFonts w:hint="eastAsia"/>
        </w:rPr>
        <w:t>，以將有限之財政資源集中，支援必須擴增的國防經費支出。</w:t>
      </w:r>
      <w:r w:rsidRPr="003C1DC4">
        <w:rPr>
          <w:rFonts w:hint="eastAsia"/>
          <w:b/>
          <w:u w:val="thick"/>
        </w:rPr>
        <w:t>俟賴總統忠實履行憲政義務，</w:t>
      </w:r>
      <w:r w:rsidRPr="003C1DC4">
        <w:rPr>
          <w:rFonts w:hint="eastAsia"/>
        </w:rPr>
        <w:t>依照憲法第72條：「立法院法律案通過後，移送總統及行政院，總統應於收到後十日內公布。」之</w:t>
      </w:r>
      <w:r>
        <w:rPr>
          <w:rFonts w:hint="eastAsia"/>
        </w:rPr>
        <w:t>剛性</w:t>
      </w:r>
      <w:r w:rsidRPr="003C1DC4">
        <w:rPr>
          <w:rFonts w:hint="eastAsia"/>
        </w:rPr>
        <w:t>規定，公布五項已由立法院</w:t>
      </w:r>
      <w:r>
        <w:rPr>
          <w:rFonts w:hint="eastAsia"/>
        </w:rPr>
        <w:t>三讀</w:t>
      </w:r>
      <w:r w:rsidRPr="003C1DC4">
        <w:rPr>
          <w:rFonts w:hint="eastAsia"/>
        </w:rPr>
        <w:t>通過，卻仍未公布、遭到賴總統擱置的法律案，於五項法律案全數完成公布後，向立法院司法及法制委員會提交書面報告，經同意後始得動支。</w:t>
      </w:r>
      <w:r w:rsidR="008D6D47" w:rsidRPr="005A214C">
        <w:t>【1</w:t>
      </w:r>
      <w:r w:rsidR="008D6D47">
        <w:rPr>
          <w:rFonts w:hint="eastAsia"/>
        </w:rPr>
        <w:t>2</w:t>
      </w:r>
      <w:r w:rsidR="008D6D47" w:rsidRPr="005A214C">
        <w:t>】</w:t>
      </w:r>
    </w:p>
    <w:p w14:paraId="067555B1" w14:textId="77777777" w:rsidR="008D6D47" w:rsidRDefault="008D6D47" w:rsidP="009E49AF">
      <w:pPr>
        <w:pStyle w:val="21"/>
      </w:pPr>
      <w:r>
        <w:t>提案人：翁曉玲</w:t>
      </w:r>
    </w:p>
    <w:p w14:paraId="5E652DCF" w14:textId="77777777" w:rsidR="008D6D47" w:rsidRDefault="008D6D47" w:rsidP="009E49AF">
      <w:pPr>
        <w:pStyle w:val="21"/>
      </w:pPr>
      <w:r>
        <w:t>連署人：許宇甄　林倩綺</w:t>
      </w:r>
    </w:p>
    <w:p w14:paraId="39A653B1" w14:textId="2AA99E26" w:rsidR="009E49AF" w:rsidRPr="00115E7D" w:rsidRDefault="009E49AF" w:rsidP="009E49AF">
      <w:pPr>
        <w:pStyle w:val="1"/>
      </w:pPr>
      <w:r w:rsidRPr="00115E7D">
        <w:rPr>
          <w:rFonts w:hint="eastAsia"/>
        </w:rPr>
        <w:t>115年度總統府預算案於第2目「國務機要」項下「國務機要」國家元首行使職權所需相關費用，計需30,000千元，包括訪視、犒賞、獎助、慰問、接待、贈禮及其他相關費用等經費。編列預算3,000</w:t>
      </w:r>
      <w:r w:rsidR="002318B2">
        <w:rPr>
          <w:rFonts w:hint="eastAsia"/>
        </w:rPr>
        <w:t>萬元。</w:t>
      </w:r>
    </w:p>
    <w:p w14:paraId="3CE576CE" w14:textId="77777777" w:rsidR="009E49AF" w:rsidRPr="00115E7D" w:rsidRDefault="009E49AF" w:rsidP="009E49AF">
      <w:pPr>
        <w:pStyle w:val="10"/>
      </w:pPr>
      <w:r w:rsidRPr="00115E7D">
        <w:rPr>
          <w:rFonts w:hint="eastAsia"/>
        </w:rPr>
        <w:lastRenderedPageBreak/>
        <w:t>觀其預算書說明，其用途係指訪視、犒賞、獎助、慰問、接待、贈禮及其他相關費用等支出，恐非屬各項施政計畫執行之必要項目。</w:t>
      </w:r>
    </w:p>
    <w:p w14:paraId="4A0B9DF1" w14:textId="77777777" w:rsidR="009E49AF" w:rsidRPr="00115E7D" w:rsidRDefault="009E49AF" w:rsidP="009E49AF">
      <w:pPr>
        <w:pStyle w:val="10"/>
      </w:pPr>
      <w:r w:rsidRPr="00115E7D">
        <w:rPr>
          <w:rFonts w:hint="eastAsia"/>
        </w:rPr>
        <w:t>然，115年中央政府總預算連同特別預算，已需舉債高達4千億元。</w:t>
      </w:r>
      <w:r w:rsidRPr="00115E7D">
        <w:rPr>
          <w:rFonts w:hint="eastAsia"/>
          <w:b/>
          <w:u w:val="thick"/>
        </w:rPr>
        <w:t>政府各單位更應量入為出、撙節公帑</w:t>
      </w:r>
      <w:r w:rsidRPr="00115E7D">
        <w:rPr>
          <w:rFonts w:hint="eastAsia"/>
        </w:rPr>
        <w:t>，</w:t>
      </w:r>
      <w:r w:rsidRPr="00115E7D">
        <w:rPr>
          <w:rFonts w:hint="eastAsia"/>
          <w:b/>
          <w:u w:val="thick"/>
        </w:rPr>
        <w:t>減列非必要、非急迫性的支出</w:t>
      </w:r>
      <w:r w:rsidRPr="00115E7D">
        <w:rPr>
          <w:rFonts w:hint="eastAsia"/>
        </w:rPr>
        <w:t>，以降低國庫舉債、債留子孫的壓力。</w:t>
      </w:r>
    </w:p>
    <w:p w14:paraId="3AB70FFA" w14:textId="77777777" w:rsidR="009E49AF" w:rsidRPr="00115E7D" w:rsidRDefault="009E49AF" w:rsidP="009E49AF">
      <w:pPr>
        <w:pStyle w:val="10"/>
        <w:rPr>
          <w:b/>
          <w:u w:val="thick"/>
        </w:rPr>
      </w:pPr>
      <w:r w:rsidRPr="00115E7D">
        <w:rPr>
          <w:rFonts w:hint="eastAsia"/>
        </w:rPr>
        <w:t>且，賴總統為回應美國對台灣應大幅增加國防支出的強硬立場與關切壓力，115年度國防支出已創下歷史新高．達9,495億新台幣．較去年度相比暴增1,768億．漲幅達16%，負擔不可謂不重；大舉增加國防支出，必定會嚴重排擠年度的教育、文化、經濟發展、社會福利等支出。亦即，</w:t>
      </w:r>
      <w:r w:rsidRPr="00115E7D">
        <w:rPr>
          <w:rFonts w:hint="eastAsia"/>
          <w:b/>
          <w:u w:val="thick"/>
        </w:rPr>
        <w:t>各部會應勒緊褲帶，共體時艱、以撙節非必要支出的具體行動，來呼應賴總統對美方要求大幅增加國防支出的承諾！總統府更應發揮帶頭作用，為全國各機關做出表率，以實際削減非必要開支的具體行動，熱烈回應賴總統的號召。</w:t>
      </w:r>
    </w:p>
    <w:p w14:paraId="5F518E59" w14:textId="1BECB31A" w:rsidR="008D6D47" w:rsidRDefault="009E49AF" w:rsidP="009E49AF">
      <w:pPr>
        <w:pStyle w:val="10"/>
      </w:pPr>
      <w:r w:rsidRPr="00115E7D">
        <w:rPr>
          <w:rFonts w:hint="eastAsia"/>
        </w:rPr>
        <w:t>有鑑於總統府所編之「國務機要費」</w:t>
      </w:r>
      <w:r>
        <w:rPr>
          <w:rFonts w:hint="eastAsia"/>
        </w:rPr>
        <w:t>係</w:t>
      </w:r>
      <w:r w:rsidRPr="00115E7D">
        <w:rPr>
          <w:rFonts w:hint="eastAsia"/>
        </w:rPr>
        <w:t>訪視、犒賞、獎助、慰問、接待、贈禮及其他相關費用等支出，非屬各項施政計畫執行之必要項目。</w:t>
      </w:r>
      <w:r w:rsidRPr="00115E7D">
        <w:rPr>
          <w:rFonts w:hint="eastAsia"/>
          <w:b/>
          <w:u w:val="thick"/>
        </w:rPr>
        <w:t>為兌現賴總統對美方的承諾，且配合國防支出大幅增加之影響而必須撙節經費</w:t>
      </w:r>
      <w:r w:rsidRPr="00115E7D">
        <w:rPr>
          <w:rFonts w:hint="eastAsia"/>
        </w:rPr>
        <w:t>，</w:t>
      </w:r>
      <w:r w:rsidRPr="00115E7D">
        <w:rPr>
          <w:rFonts w:hint="eastAsia"/>
          <w:b/>
          <w:u w:val="thick"/>
        </w:rPr>
        <w:t>爰提案減列1</w:t>
      </w:r>
      <w:r w:rsidRPr="00115E7D">
        <w:rPr>
          <w:b/>
          <w:u w:val="thick"/>
        </w:rPr>
        <w:t>,00</w:t>
      </w:r>
      <w:r w:rsidRPr="00115E7D">
        <w:rPr>
          <w:rFonts w:hint="eastAsia"/>
          <w:b/>
          <w:u w:val="thick"/>
        </w:rPr>
        <w:t>0萬元並凍結2</w:t>
      </w:r>
      <w:r w:rsidRPr="00115E7D">
        <w:rPr>
          <w:b/>
          <w:u w:val="thick"/>
        </w:rPr>
        <w:t>000</w:t>
      </w:r>
      <w:r w:rsidRPr="00115E7D">
        <w:rPr>
          <w:rFonts w:hint="eastAsia"/>
          <w:b/>
          <w:u w:val="thick"/>
        </w:rPr>
        <w:t>萬元整，且不得流用勻支</w:t>
      </w:r>
      <w:r w:rsidRPr="00115E7D">
        <w:rPr>
          <w:rFonts w:hint="eastAsia"/>
        </w:rPr>
        <w:t>，以將有限之財政資源集中，支援必須擴增的國防經費支出。</w:t>
      </w:r>
      <w:r w:rsidRPr="00115E7D">
        <w:rPr>
          <w:rFonts w:hint="eastAsia"/>
          <w:b/>
          <w:u w:val="thick"/>
        </w:rPr>
        <w:t>俟賴總統忠實履行憲政義務，</w:t>
      </w:r>
      <w:r w:rsidRPr="00115E7D">
        <w:rPr>
          <w:rFonts w:hint="eastAsia"/>
        </w:rPr>
        <w:t>依照憲法第72條：「立法院法律案通過後，移送總統及行政院，總統應於收到後十日內公布。」之剛性</w:t>
      </w:r>
      <w:r>
        <w:rPr>
          <w:rFonts w:hint="eastAsia"/>
        </w:rPr>
        <w:t>憲政義務</w:t>
      </w:r>
      <w:r w:rsidRPr="00115E7D">
        <w:rPr>
          <w:rFonts w:hint="eastAsia"/>
        </w:rPr>
        <w:t>規定，公布五項已由立法院三讀通過，卻仍未公布、遭到賴總統擱置的法律案，於五項法律案全數完成公布後，向立法院司法及法制委員會提交書面報告，經同意後始得動支。</w:t>
      </w:r>
      <w:r w:rsidR="008D6D47" w:rsidRPr="005A214C">
        <w:t>【1</w:t>
      </w:r>
      <w:r w:rsidR="008D6D47">
        <w:rPr>
          <w:rFonts w:hint="eastAsia"/>
        </w:rPr>
        <w:t>5</w:t>
      </w:r>
      <w:r w:rsidR="008D6D47" w:rsidRPr="005A214C">
        <w:t>】</w:t>
      </w:r>
    </w:p>
    <w:p w14:paraId="56CECCFD" w14:textId="77777777" w:rsidR="008D6D47" w:rsidRDefault="008D6D47" w:rsidP="009E49AF">
      <w:pPr>
        <w:pStyle w:val="21"/>
      </w:pPr>
      <w:r>
        <w:t>提案人：翁曉玲</w:t>
      </w:r>
    </w:p>
    <w:p w14:paraId="738FA71D" w14:textId="22685851" w:rsidR="0078011D" w:rsidRPr="008D6D47" w:rsidRDefault="008D6D47" w:rsidP="009E49AF">
      <w:pPr>
        <w:pStyle w:val="21"/>
        <w:rPr>
          <w:rFonts w:cs="Times New Roman"/>
        </w:rPr>
      </w:pPr>
      <w:r>
        <w:t>連署人：許宇甄　林倩綺</w:t>
      </w:r>
    </w:p>
    <w:p w14:paraId="1460CAEA" w14:textId="77777777" w:rsidR="008D6D47" w:rsidRDefault="008D6D47" w:rsidP="00651074">
      <w:pPr>
        <w:pStyle w:val="1"/>
      </w:pPr>
      <w:r w:rsidRPr="005A214C">
        <w:t>115年度總統府預算案於第2目「國務機要」編列預算3,000萬元，全數為業務費，較114年度1,000萬元增加2,000萬元，增幅高達200%。預算書僅以「國家元首訪視、犒賞、獎助、慰問、接待、贈禮及其他相關經費」概括說明，未具體交代增加原因、使用規模及必要性，預算編列顯嫌籠統。</w:t>
      </w:r>
    </w:p>
    <w:p w14:paraId="6055237C" w14:textId="53A5AD9B" w:rsidR="008D6D47" w:rsidRDefault="008D6D47" w:rsidP="00651074">
      <w:pPr>
        <w:pStyle w:val="10"/>
      </w:pPr>
      <w:r w:rsidRPr="005A214C">
        <w:t>國務機要費雖具有一定機密性與特殊性，個別支出明細不宜完全公開，然此並不代表即可排除國會監督。尤其114年度該項預算已由3,000萬元降為1,000萬元，115年度又恢復至</w:t>
      </w:r>
      <w:r w:rsidRPr="005A214C">
        <w:lastRenderedPageBreak/>
        <w:t>3,000萬元，預算大幅反彈，卻未見總統府說明年度需求何以急遽增加，亦未提出支出結構、使用原則或前年度執行情形供國會審酌，難免引發裁量性支出過度寬鬆之疑慮。</w:t>
      </w:r>
    </w:p>
    <w:p w14:paraId="7B405CC3" w14:textId="77777777" w:rsidR="008E0D50" w:rsidRDefault="008D6D47" w:rsidP="00651074">
      <w:pPr>
        <w:pStyle w:val="10"/>
      </w:pPr>
      <w:r w:rsidRPr="005A214C">
        <w:t>在政府財政資源有限、各機關均應撙節支出的情況下，總統府作為國家最高機關，更應率先示範預算紀律。若僅以「國家元首相關必要費用」作為概括說明，即要求國會全額照列，實不符預算審查應有之透明、合理與必要原則。</w:t>
      </w:r>
    </w:p>
    <w:p w14:paraId="3D3F39E4" w14:textId="12E5216F" w:rsidR="008D6D47" w:rsidRDefault="008D6D47" w:rsidP="008E0D50">
      <w:pPr>
        <w:pStyle w:val="10"/>
      </w:pPr>
      <w:r w:rsidRPr="005A214C">
        <w:t>爰該項預算減列1,000萬元並凍結1,000萬元，俟總統府於2個月內向立法院司法及法制委員會提出專案報告並經同意後，始得動支。【1</w:t>
      </w:r>
      <w:r>
        <w:rPr>
          <w:rFonts w:hint="eastAsia"/>
        </w:rPr>
        <w:t>6</w:t>
      </w:r>
      <w:r w:rsidRPr="005A214C">
        <w:t>】</w:t>
      </w:r>
    </w:p>
    <w:p w14:paraId="3D9CC49B" w14:textId="77777777" w:rsidR="008D6D47" w:rsidRDefault="008D6D47" w:rsidP="00651074">
      <w:pPr>
        <w:pStyle w:val="21"/>
      </w:pPr>
      <w:r>
        <w:t>提案人：許宇甄</w:t>
      </w:r>
    </w:p>
    <w:p w14:paraId="422F53E9" w14:textId="77777777" w:rsidR="008D6D47" w:rsidRDefault="008D6D47" w:rsidP="00651074">
      <w:pPr>
        <w:pStyle w:val="21"/>
      </w:pPr>
      <w:r>
        <w:rPr>
          <w:rFonts w:hint="eastAsia"/>
        </w:rPr>
        <w:t>連署人：翁曉玲　林倩綺</w:t>
      </w:r>
    </w:p>
    <w:p w14:paraId="2CB2F72D" w14:textId="77777777" w:rsidR="008D6D47" w:rsidRDefault="008D6D47" w:rsidP="00651074">
      <w:pPr>
        <w:pStyle w:val="1"/>
      </w:pPr>
      <w:r w:rsidRPr="005A214C">
        <w:t>115年度總統府預算案於第2目「國務機要」項下「國務機要」中「業務費」之「機要費」編列預算3,000萬元，作為總統依法行使憲法職權之必要經費。</w:t>
      </w:r>
    </w:p>
    <w:p w14:paraId="68C1318B" w14:textId="1F4C5FA7" w:rsidR="008D6D47" w:rsidRDefault="008D6D47" w:rsidP="00651074">
      <w:pPr>
        <w:pStyle w:val="10"/>
      </w:pPr>
      <w:r w:rsidRPr="005A214C">
        <w:t>自賴清德總統上任以來，總統未依法遵守憲法規範，且帶頭選擇性行使法律，憲法法庭違憲判決、三讀通過法案不副署、不公布、不執行，經立法院否決之人事案，強行用總統指派來代理，引社會對政府權力分際及憲政程序之落實高度關注。在此情況下，作為總統執行國務所需之機要經費，更應強化資訊揭露與預算透明，以回應社會對政府施政公開及權責明確之期待。</w:t>
      </w:r>
    </w:p>
    <w:p w14:paraId="5696842D" w14:textId="5B367DB2" w:rsidR="008D6D47" w:rsidRDefault="008D6D47" w:rsidP="00651074">
      <w:pPr>
        <w:pStyle w:val="10"/>
      </w:pPr>
      <w:r w:rsidRPr="005A214C">
        <w:t>鑑於國務機要費涉及公帑運用與政府信任基礎，相關預算應秉持公開透明及接受監督原則，對經費使用目的、執行原則及控管機制提出更具體說明，以確保預算支出符合必要性及財政紀律。</w:t>
      </w:r>
    </w:p>
    <w:p w14:paraId="675994A7" w14:textId="056F1F7E" w:rsidR="008D6D47" w:rsidRDefault="008D6D47" w:rsidP="00651074">
      <w:pPr>
        <w:pStyle w:val="10"/>
      </w:pPr>
      <w:r w:rsidRPr="005A214C">
        <w:t>爰針對115年度總統府第2目「國務機要」項下「國務機要」中「業務費」之「機要費」預算編列3,000萬元，凍結20%，俟總統府於1個月內向立法院司法及法制委員會提出書面報告後，始得動支。【1</w:t>
      </w:r>
      <w:r>
        <w:rPr>
          <w:rFonts w:hint="eastAsia"/>
        </w:rPr>
        <w:t>7</w:t>
      </w:r>
      <w:r w:rsidRPr="005A214C">
        <w:t>】</w:t>
      </w:r>
    </w:p>
    <w:p w14:paraId="72A8B07E" w14:textId="77777777" w:rsidR="008D6D47" w:rsidRDefault="008D6D47" w:rsidP="00651074">
      <w:pPr>
        <w:pStyle w:val="21"/>
      </w:pPr>
      <w:r>
        <w:t>提案人：林沛祥</w:t>
      </w:r>
    </w:p>
    <w:p w14:paraId="1810D74C" w14:textId="4C87CC35" w:rsidR="008D6D47" w:rsidRPr="0078011D" w:rsidRDefault="008D6D47" w:rsidP="008D6D47">
      <w:pPr>
        <w:pStyle w:val="21"/>
        <w:rPr>
          <w:rFonts w:cs="Times New Roman"/>
        </w:rPr>
      </w:pPr>
      <w:r>
        <w:rPr>
          <w:rFonts w:hint="eastAsia"/>
        </w:rPr>
        <w:t>連署人：翁曉玲　許宇甄</w:t>
      </w:r>
    </w:p>
    <w:p w14:paraId="2480EEC2" w14:textId="2E490762" w:rsidR="0078011D" w:rsidRPr="008D6D47" w:rsidRDefault="0078011D" w:rsidP="0078011D">
      <w:pPr>
        <w:snapToGrid w:val="0"/>
        <w:ind w:leftChars="150" w:left="1201" w:hangingChars="300" w:hanging="841"/>
        <w:jc w:val="both"/>
        <w:rPr>
          <w:rFonts w:ascii="標楷體" w:hAnsi="標楷體"/>
          <w:b/>
          <w:sz w:val="28"/>
          <w:szCs w:val="28"/>
        </w:rPr>
      </w:pPr>
      <w:r w:rsidRPr="008D6D47">
        <w:rPr>
          <w:rFonts w:ascii="標楷體" w:eastAsia="標楷體" w:hAnsi="標楷體"/>
          <w:b/>
          <w:sz w:val="28"/>
          <w:szCs w:val="28"/>
        </w:rPr>
        <w:t>本項通過決議</w:t>
      </w:r>
      <w:r w:rsidR="008D6D47" w:rsidRPr="008D6D47">
        <w:rPr>
          <w:rFonts w:ascii="標楷體" w:eastAsia="標楷體" w:hAnsi="標楷體" w:hint="eastAsia"/>
          <w:b/>
          <w:sz w:val="28"/>
          <w:szCs w:val="28"/>
        </w:rPr>
        <w:t>1</w:t>
      </w:r>
      <w:r w:rsidR="008D6D47" w:rsidRPr="008D6D47">
        <w:rPr>
          <w:rFonts w:ascii="標楷體" w:eastAsia="標楷體" w:hAnsi="標楷體"/>
          <w:b/>
          <w:sz w:val="28"/>
          <w:szCs w:val="28"/>
        </w:rPr>
        <w:t>0</w:t>
      </w:r>
      <w:r w:rsidRPr="008D6D47">
        <w:rPr>
          <w:rFonts w:ascii="標楷體" w:eastAsia="標楷體" w:hAnsi="標楷體"/>
          <w:b/>
          <w:sz w:val="28"/>
          <w:szCs w:val="28"/>
        </w:rPr>
        <w:t>項：</w:t>
      </w:r>
    </w:p>
    <w:p w14:paraId="1205A493" w14:textId="194C02B1" w:rsidR="00890645" w:rsidRPr="005A1BD6" w:rsidRDefault="00890645" w:rsidP="00BF5B2C">
      <w:pPr>
        <w:pStyle w:val="a"/>
        <w:numPr>
          <w:ilvl w:val="0"/>
          <w:numId w:val="27"/>
        </w:numPr>
        <w:rPr>
          <w:color w:val="FF0000"/>
        </w:rPr>
      </w:pPr>
      <w:r w:rsidRPr="00DF2D89">
        <w:t>115年度總統府歲出預算第1目</w:t>
      </w:r>
      <w:r w:rsidRPr="005A1BD6">
        <w:t>「一般行政」編列10億8,445萬1千</w:t>
      </w:r>
      <w:r w:rsidR="00F64ECF">
        <w:rPr>
          <w:rFonts w:hint="eastAsia"/>
        </w:rPr>
        <w:t>元</w:t>
      </w:r>
      <w:r w:rsidRPr="005A1BD6">
        <w:t>，凍結</w:t>
      </w:r>
      <w:r w:rsidR="00DF2D89" w:rsidRPr="005A1BD6">
        <w:t>1,500</w:t>
      </w:r>
      <w:r w:rsidRPr="005A1BD6">
        <w:t>萬元，俟向立法院司法及法制委員會提出書面報告後，始得動支。</w:t>
      </w:r>
      <w:r w:rsidR="00DF2D89" w:rsidRPr="005A1BD6">
        <w:rPr>
          <w:rFonts w:hint="eastAsia"/>
        </w:rPr>
        <w:t>【1</w:t>
      </w:r>
      <w:r w:rsidR="00DF2D89" w:rsidRPr="005A1BD6">
        <w:t>1</w:t>
      </w:r>
      <w:r w:rsidR="00DF2D89" w:rsidRPr="005A1BD6">
        <w:rPr>
          <w:rFonts w:hint="eastAsia"/>
        </w:rPr>
        <w:t>、</w:t>
      </w:r>
      <w:r w:rsidR="00DF2D89" w:rsidRPr="005A1BD6">
        <w:t>13</w:t>
      </w:r>
      <w:r w:rsidR="00DF2D89" w:rsidRPr="005A1BD6">
        <w:rPr>
          <w:rFonts w:hint="eastAsia"/>
        </w:rPr>
        <w:t>、</w:t>
      </w:r>
      <w:r w:rsidR="00DF2D89" w:rsidRPr="005A1BD6">
        <w:t>14</w:t>
      </w:r>
      <w:r w:rsidR="00DF2D89" w:rsidRPr="005A1BD6">
        <w:rPr>
          <w:rFonts w:hint="eastAsia"/>
        </w:rPr>
        <w:t>】</w:t>
      </w:r>
    </w:p>
    <w:p w14:paraId="7D8759AA" w14:textId="1C356B5D" w:rsidR="00890645" w:rsidRPr="005A1BD6" w:rsidRDefault="00890645" w:rsidP="004413BB">
      <w:pPr>
        <w:pStyle w:val="21"/>
      </w:pPr>
      <w:r w:rsidRPr="005A1BD6">
        <w:t>提案人：</w:t>
      </w:r>
      <w:r w:rsidR="00C74F13" w:rsidRPr="005A1BD6">
        <w:rPr>
          <w:rFonts w:hint="eastAsia"/>
        </w:rPr>
        <w:t>許宇甄</w:t>
      </w:r>
      <w:r w:rsidR="001A7895" w:rsidRPr="005A1BD6">
        <w:rPr>
          <w:rFonts w:hint="eastAsia"/>
        </w:rPr>
        <w:t xml:space="preserve">　</w:t>
      </w:r>
      <w:r w:rsidR="00C74F13" w:rsidRPr="005A1BD6">
        <w:rPr>
          <w:rFonts w:hint="eastAsia"/>
        </w:rPr>
        <w:t>吳宗憲</w:t>
      </w:r>
    </w:p>
    <w:p w14:paraId="4C87CCC9" w14:textId="27F1277C" w:rsidR="00890645" w:rsidRPr="005A1BD6" w:rsidRDefault="00890645" w:rsidP="004413BB">
      <w:pPr>
        <w:pStyle w:val="21"/>
      </w:pPr>
      <w:r w:rsidRPr="005A1BD6">
        <w:lastRenderedPageBreak/>
        <w:t>連署人：</w:t>
      </w:r>
      <w:r w:rsidR="00C74F13" w:rsidRPr="005A1BD6">
        <w:rPr>
          <w:rFonts w:hint="eastAsia"/>
        </w:rPr>
        <w:t>翁曉玲</w:t>
      </w:r>
      <w:r w:rsidR="001A7895" w:rsidRPr="005A1BD6">
        <w:rPr>
          <w:rFonts w:hint="eastAsia"/>
        </w:rPr>
        <w:t xml:space="preserve">　</w:t>
      </w:r>
      <w:r w:rsidR="00C74F13" w:rsidRPr="005A1BD6">
        <w:rPr>
          <w:rFonts w:hint="eastAsia"/>
        </w:rPr>
        <w:t>林倩綺</w:t>
      </w:r>
    </w:p>
    <w:p w14:paraId="1C22A2A2" w14:textId="5B864264" w:rsidR="004413BB" w:rsidRPr="005A1BD6" w:rsidRDefault="004413BB" w:rsidP="00A21BA8">
      <w:pPr>
        <w:pStyle w:val="1"/>
      </w:pPr>
      <w:r w:rsidRPr="005A1BD6">
        <w:t>115年度總統府歲出預算第4目「研究發展」編列555萬9千</w:t>
      </w:r>
      <w:r w:rsidR="00F64ECF">
        <w:rPr>
          <w:rFonts w:hint="eastAsia"/>
        </w:rPr>
        <w:t>元</w:t>
      </w:r>
      <w:r w:rsidRPr="005A1BD6">
        <w:t>，凍結50萬元，俟向立法院司法及法制委員會提出書面報告後，始得動支。【18】</w:t>
      </w:r>
    </w:p>
    <w:p w14:paraId="6AB47DF2" w14:textId="77777777" w:rsidR="00CD7B7A" w:rsidRPr="005A1BD6" w:rsidRDefault="00CD7B7A" w:rsidP="00CD7B7A">
      <w:pPr>
        <w:pStyle w:val="21"/>
      </w:pPr>
      <w:r w:rsidRPr="005A1BD6">
        <w:t>提案人：</w:t>
      </w:r>
      <w:r w:rsidRPr="005A1BD6">
        <w:rPr>
          <w:rFonts w:hint="eastAsia"/>
        </w:rPr>
        <w:t>許宇甄</w:t>
      </w:r>
    </w:p>
    <w:p w14:paraId="5ECF7BD1" w14:textId="2950A9D2" w:rsidR="00CD7B7A" w:rsidRPr="005A1BD6" w:rsidRDefault="00CD7B7A" w:rsidP="00CD7B7A">
      <w:pPr>
        <w:pStyle w:val="21"/>
      </w:pPr>
      <w:r w:rsidRPr="005A1BD6">
        <w:t>連署人：</w:t>
      </w:r>
      <w:r w:rsidRPr="005A1BD6">
        <w:rPr>
          <w:rFonts w:hint="eastAsia"/>
        </w:rPr>
        <w:t>翁曉玲　林倩綺</w:t>
      </w:r>
    </w:p>
    <w:p w14:paraId="546670AF" w14:textId="22EFF377" w:rsidR="00A21BA8" w:rsidRPr="005A1BD6" w:rsidRDefault="00A21BA8" w:rsidP="00A21BA8">
      <w:pPr>
        <w:pStyle w:val="1"/>
      </w:pPr>
      <w:r w:rsidRPr="005A1BD6">
        <w:t>115年度總統府歲出預算第5目「新聞發布」編列869萬8千</w:t>
      </w:r>
      <w:r w:rsidR="00F64ECF">
        <w:rPr>
          <w:rFonts w:hint="eastAsia"/>
        </w:rPr>
        <w:t>元</w:t>
      </w:r>
      <w:r w:rsidRPr="005A1BD6">
        <w:t>，凍結</w:t>
      </w:r>
      <w:r w:rsidRPr="005A1BD6">
        <w:rPr>
          <w:rFonts w:hint="eastAsia"/>
        </w:rPr>
        <w:t>5</w:t>
      </w:r>
      <w:r w:rsidRPr="005A1BD6">
        <w:t>0萬元，俟向立法院司法及法制委員會提出書面報告後，始得動支。【20】</w:t>
      </w:r>
    </w:p>
    <w:p w14:paraId="78FDC32F" w14:textId="77777777" w:rsidR="00A21BA8" w:rsidRPr="005A1BD6" w:rsidRDefault="00A21BA8" w:rsidP="00A21BA8">
      <w:pPr>
        <w:pStyle w:val="21"/>
      </w:pPr>
      <w:r w:rsidRPr="005A1BD6">
        <w:t>提案人：</w:t>
      </w:r>
      <w:r w:rsidRPr="005A1BD6">
        <w:rPr>
          <w:rFonts w:hint="eastAsia"/>
        </w:rPr>
        <w:t>許宇甄</w:t>
      </w:r>
    </w:p>
    <w:p w14:paraId="1B5E7454" w14:textId="3A35EB91" w:rsidR="00A21BA8" w:rsidRPr="005A1BD6" w:rsidRDefault="00A21BA8" w:rsidP="00A21BA8">
      <w:pPr>
        <w:pStyle w:val="21"/>
      </w:pPr>
      <w:r w:rsidRPr="005A1BD6">
        <w:t>連署人：</w:t>
      </w:r>
      <w:r w:rsidRPr="005A1BD6">
        <w:rPr>
          <w:rFonts w:hint="eastAsia"/>
        </w:rPr>
        <w:t>翁曉玲　林倩綺</w:t>
      </w:r>
    </w:p>
    <w:p w14:paraId="3111D941" w14:textId="3A4F0439" w:rsidR="00890645" w:rsidRPr="005A1BD6" w:rsidRDefault="00890645" w:rsidP="00743E8C">
      <w:pPr>
        <w:pStyle w:val="1"/>
      </w:pPr>
      <w:r w:rsidRPr="005A1BD6">
        <w:t>針對</w:t>
      </w:r>
      <w:r w:rsidR="002318B2" w:rsidRPr="005A1BD6">
        <w:t>115年度</w:t>
      </w:r>
      <w:r w:rsidRPr="005A1BD6">
        <w:t>總統府</w:t>
      </w:r>
      <w:r w:rsidR="002318B2" w:rsidRPr="005A1BD6">
        <w:rPr>
          <w:rFonts w:hint="eastAsia"/>
        </w:rPr>
        <w:t>預算案</w:t>
      </w:r>
      <w:r w:rsidRPr="005A1BD6">
        <w:t>於</w:t>
      </w:r>
      <w:r w:rsidR="002318B2" w:rsidRPr="005A1BD6">
        <w:rPr>
          <w:rFonts w:hint="eastAsia"/>
        </w:rPr>
        <w:t>第1目</w:t>
      </w:r>
      <w:r w:rsidRPr="005A1BD6">
        <w:t>「一般行政」項下「資訊行政工作維持費」編列1億1,303萬餘元，其中歷時4年之「資訊資安基礎環境創新升級計畫」（總經費1億2,261萬餘元）進入最後一年，並續編3,503萬餘元預算。為因應當前生成式AI、深偽技術（Deepfake）與複合式網路攻擊之嚴峻威脅，確保國家最高中樞數位環境之絕對安全，總統府應針對該4年期計畫執行成效進行總體驗收，並評估新型態防禦能量之實質提升情形，爰建請總統府於</w:t>
      </w:r>
      <w:r w:rsidRPr="005A1BD6">
        <w:rPr>
          <w:rFonts w:hint="eastAsia"/>
        </w:rPr>
        <w:t>3</w:t>
      </w:r>
      <w:r w:rsidRPr="005A1BD6">
        <w:t>個月內提交書面報告送予立法院司法及法制委員會。【2</w:t>
      </w:r>
      <w:r w:rsidRPr="005A1BD6">
        <w:rPr>
          <w:rFonts w:hint="eastAsia"/>
        </w:rPr>
        <w:t>3</w:t>
      </w:r>
      <w:r w:rsidRPr="005A1BD6">
        <w:t>】</w:t>
      </w:r>
    </w:p>
    <w:p w14:paraId="14C85C6C" w14:textId="77777777" w:rsidR="00890645" w:rsidRPr="005A1BD6" w:rsidRDefault="00890645" w:rsidP="00743E8C">
      <w:pPr>
        <w:pStyle w:val="21"/>
      </w:pPr>
      <w:r w:rsidRPr="005A1BD6">
        <w:t>提案人：莊瑞雄</w:t>
      </w:r>
    </w:p>
    <w:p w14:paraId="658E4B7C" w14:textId="77777777" w:rsidR="00890645" w:rsidRPr="005A1BD6" w:rsidRDefault="00890645" w:rsidP="00743E8C">
      <w:pPr>
        <w:pStyle w:val="21"/>
        <w:rPr>
          <w:color w:val="FF0000"/>
        </w:rPr>
      </w:pPr>
      <w:r w:rsidRPr="005A1BD6">
        <w:t>連署人：</w:t>
      </w:r>
      <w:r w:rsidRPr="005A1BD6">
        <w:rPr>
          <w:rFonts w:hint="eastAsia"/>
        </w:rPr>
        <w:t>范  雲  張雅琳</w:t>
      </w:r>
    </w:p>
    <w:p w14:paraId="1EF2D35A" w14:textId="77777777" w:rsidR="00890645" w:rsidRDefault="00890645" w:rsidP="00743E8C">
      <w:pPr>
        <w:pStyle w:val="1"/>
      </w:pPr>
      <w:r w:rsidRPr="005A1BD6">
        <w:t>針對總統府推動跨年度之「中央空調主機與送風機系統汰換計畫」（總經費高達9,960萬元）及「外牆立面門窗整修及露台防水改善計畫」（總經費達9,700萬元），115年度於「一般行政」項下分別賡續編列最後一年經費5,756萬餘元及第2年經費2,690萬餘元。為引領政府機關落實2050淨零轉型，總統府應將ESG與最高標準之綠能建材、智慧能源管理系統納入修繕執行計畫，政府維護國定古蹟，其意義除保存歷史建物，更應符合當代國家發展之核心價值。在全球氣候變遷與國家推動淨零碳排之戰略目標下，總統府作為國家最高政治中樞，其建築養護與機電設備汰換，應成為全國公部門之綠色標竿。古蹟修繕雖受限於文資法規，執行難度甚高，但仍應在不破壞歷史外觀之原則下，極大化能源使用效率，確保具備長期的節能減碳效益，並導入現代化之能源監控機制，爰建請總統府於</w:t>
      </w:r>
      <w:r w:rsidRPr="005A1BD6">
        <w:rPr>
          <w:rFonts w:hint="eastAsia"/>
        </w:rPr>
        <w:t>3</w:t>
      </w:r>
      <w:r w:rsidRPr="005A1BD6">
        <w:t>個月</w:t>
      </w:r>
      <w:r w:rsidRPr="005A214C">
        <w:t>內提交書面報告送予立法院司法及法制委員會。【</w:t>
      </w:r>
      <w:r>
        <w:t>2</w:t>
      </w:r>
      <w:r>
        <w:rPr>
          <w:rFonts w:hint="eastAsia"/>
        </w:rPr>
        <w:t>4</w:t>
      </w:r>
      <w:r w:rsidRPr="005A214C">
        <w:t>】</w:t>
      </w:r>
    </w:p>
    <w:p w14:paraId="64A2EE79" w14:textId="77777777" w:rsidR="00890645" w:rsidRDefault="00890645" w:rsidP="00743E8C">
      <w:pPr>
        <w:pStyle w:val="21"/>
      </w:pPr>
      <w:r>
        <w:t>提案人：莊瑞雄</w:t>
      </w:r>
    </w:p>
    <w:p w14:paraId="59A37C6F" w14:textId="77777777" w:rsidR="00890645" w:rsidRDefault="00890645" w:rsidP="00743E8C">
      <w:pPr>
        <w:pStyle w:val="21"/>
      </w:pPr>
      <w:r>
        <w:rPr>
          <w:rFonts w:hint="eastAsia"/>
        </w:rPr>
        <w:lastRenderedPageBreak/>
        <w:t>連署人：范  雲  張雅琳</w:t>
      </w:r>
    </w:p>
    <w:p w14:paraId="6FE99E6A" w14:textId="7F5EFCB0" w:rsidR="00890645" w:rsidRPr="005A1BD6" w:rsidRDefault="00890645" w:rsidP="00743E8C">
      <w:pPr>
        <w:pStyle w:val="1"/>
      </w:pPr>
      <w:r w:rsidRPr="005A1BD6">
        <w:t>115年度總統府預算案</w:t>
      </w:r>
      <w:r w:rsidR="002318B2" w:rsidRPr="005A1BD6">
        <w:rPr>
          <w:rFonts w:hint="eastAsia"/>
        </w:rPr>
        <w:t>於</w:t>
      </w:r>
      <w:r w:rsidRPr="005A1BD6">
        <w:rPr>
          <w:rFonts w:hint="eastAsia"/>
        </w:rPr>
        <w:t>第1目</w:t>
      </w:r>
      <w:r w:rsidRPr="005A1BD6">
        <w:t>「一般行政</w:t>
      </w:r>
      <w:r w:rsidRPr="005A1BD6">
        <w:rPr>
          <w:rFonts w:hint="eastAsia"/>
        </w:rPr>
        <w:t>」項下「</w:t>
      </w:r>
      <w:r w:rsidRPr="005A1BD6">
        <w:t>基本行政工作維持」</w:t>
      </w:r>
      <w:r w:rsidRPr="005A1BD6">
        <w:rPr>
          <w:rFonts w:hint="eastAsia"/>
        </w:rPr>
        <w:t>中</w:t>
      </w:r>
      <w:r w:rsidRPr="005A1BD6">
        <w:t>「中央空調主機與送風機系統汰換風機與管線計畫」編列5,756萬元，惟總統府為國定古蹟，相關修繕及設備改善工程應嚴格遵循文化資產保存法、古蹟修復相關規範及職業安全衛生法等規定，兼顧工程品質、施工安全、勞工安全及古蹟本體保存；然該計畫截至114年8月底止累計預算執行率僅2.66%，且114年4月24日因承商未經許可擅自動火施工，致發生火警事故，雖未造成古蹟本體損害及人員傷亡，仍顯示工程進度管控、施工安全監督、現場管理及風險防範機制均有不足，並已影響後續工程期程。</w:t>
      </w:r>
    </w:p>
    <w:p w14:paraId="706F3E84" w14:textId="0BB1C2BB" w:rsidR="00890645" w:rsidRDefault="00890645" w:rsidP="00743E8C">
      <w:pPr>
        <w:pStyle w:val="10"/>
      </w:pPr>
      <w:r w:rsidRPr="005A1BD6">
        <w:t>為避免工程再度延宕，確保施工現場符合職業安全衛生法規範、維護國定古蹟安全，並使相關修繕及設備汰換工程得以</w:t>
      </w:r>
      <w:r w:rsidRPr="005A1BD6">
        <w:rPr>
          <w:rFonts w:hint="eastAsia"/>
        </w:rPr>
        <w:t>儘</w:t>
      </w:r>
      <w:r w:rsidRPr="005A1BD6">
        <w:t>速推動完成。建請總統府就工程重新招標期程、施工安全管理、職業安全衛生防護措施、古蹟保護措施、風險防範機制及進度管考機制，於3個月</w:t>
      </w:r>
      <w:r w:rsidRPr="005A214C">
        <w:t>內向立法院司法及法制委員會提出書面報告。【2</w:t>
      </w:r>
      <w:r>
        <w:rPr>
          <w:rFonts w:hint="eastAsia"/>
        </w:rPr>
        <w:t>5</w:t>
      </w:r>
      <w:r w:rsidRPr="005A214C">
        <w:t>】</w:t>
      </w:r>
    </w:p>
    <w:p w14:paraId="76BE5173" w14:textId="77777777" w:rsidR="00890645" w:rsidRDefault="00890645" w:rsidP="00743E8C">
      <w:pPr>
        <w:pStyle w:val="21"/>
      </w:pPr>
      <w:r>
        <w:t>提案人：張雅琳</w:t>
      </w:r>
    </w:p>
    <w:p w14:paraId="7E47A096" w14:textId="77777777" w:rsidR="00890645" w:rsidRDefault="00890645" w:rsidP="00743E8C">
      <w:pPr>
        <w:pStyle w:val="21"/>
      </w:pPr>
      <w:r>
        <w:rPr>
          <w:rFonts w:hint="eastAsia"/>
        </w:rPr>
        <w:t>連署人：沈發惠  莊瑞雄</w:t>
      </w:r>
    </w:p>
    <w:p w14:paraId="1CE8856B" w14:textId="77777777" w:rsidR="00890645" w:rsidRPr="005A1BD6" w:rsidRDefault="00890645" w:rsidP="00743E8C">
      <w:pPr>
        <w:pStyle w:val="1"/>
      </w:pPr>
      <w:r w:rsidRPr="005A214C">
        <w:t>總統府設置之「國家氣候變遷對策委員會」、「健康台灣推動委員會」及「全社會防衛韌性委員會」，均屬國家重大政策諮詢平台，肩負協助總統擘劃氣候治理、全民健康及社會防衛韌性等重要政策方向之功能，惟查第2屆三大委員會女性委員比例分別僅為28.57%、14.81%及37.04%，均未達任一性別比例40%之原則，且所聘顧問亦未見女性成員，顯示委員及顧問遴聘機制仍有</w:t>
      </w:r>
      <w:r w:rsidRPr="005A1BD6">
        <w:t>檢討空間。</w:t>
      </w:r>
    </w:p>
    <w:p w14:paraId="1F531524" w14:textId="040271CA" w:rsidR="00890645" w:rsidRDefault="00890645" w:rsidP="00743E8C">
      <w:pPr>
        <w:pStyle w:val="10"/>
      </w:pPr>
      <w:r w:rsidRPr="005A1BD6">
        <w:t>鑑於性別平等及多元參與為我國落實</w:t>
      </w:r>
      <w:r w:rsidRPr="005A1BD6">
        <w:rPr>
          <w:rFonts w:hint="eastAsia"/>
        </w:rPr>
        <w:t>消除對婦女一切形式歧視公約(</w:t>
      </w:r>
      <w:r w:rsidRPr="005A1BD6">
        <w:t>CEDAW)、性別平等政策綱領及</w:t>
      </w:r>
      <w:r w:rsidRPr="005A1BD6">
        <w:rPr>
          <w:rFonts w:hint="eastAsia"/>
        </w:rPr>
        <w:t>聯合國永續發展目標(</w:t>
      </w:r>
      <w:r w:rsidRPr="005A1BD6">
        <w:t>SDGs</w:t>
      </w:r>
      <w:r w:rsidRPr="005A1BD6">
        <w:rPr>
          <w:rFonts w:hint="eastAsia"/>
        </w:rPr>
        <w:t>)</w:t>
      </w:r>
      <w:r w:rsidRPr="005A1BD6">
        <w:t>之重要目標，總統府作為國家核心象徵機關，更應發揮表率作</w:t>
      </w:r>
      <w:r w:rsidR="003B0B9D" w:rsidRPr="005A1BD6">
        <w:t>用，於重大政策諮詢平台中納入不同性別及多元背景之專業意見。爰</w:t>
      </w:r>
      <w:r w:rsidR="003B0B9D" w:rsidRPr="005A1BD6">
        <w:rPr>
          <w:rFonts w:hint="eastAsia"/>
        </w:rPr>
        <w:t>建請</w:t>
      </w:r>
      <w:r w:rsidRPr="005A1BD6">
        <w:t>總統府於</w:t>
      </w:r>
      <w:r w:rsidRPr="005A1BD6">
        <w:rPr>
          <w:rFonts w:hint="eastAsia"/>
        </w:rPr>
        <w:t>3</w:t>
      </w:r>
      <w:r w:rsidRPr="005A1BD6">
        <w:t>個月內，就三大委員會委員及顧問之性別比例、遴聘標準、專業領域分布</w:t>
      </w:r>
      <w:r w:rsidR="003B0B9D" w:rsidRPr="005A1BD6">
        <w:rPr>
          <w:rFonts w:hint="eastAsia"/>
        </w:rPr>
        <w:t>等</w:t>
      </w:r>
      <w:r w:rsidRPr="005A1BD6">
        <w:t>進行檢討，向立法院司法及法制委員會提出書面報告，以促進政策諮詢</w:t>
      </w:r>
      <w:r w:rsidRPr="005A214C">
        <w:t>機制之性別平衡、多元代表性及公共決策品質。【2</w:t>
      </w:r>
      <w:r>
        <w:rPr>
          <w:rFonts w:hint="eastAsia"/>
        </w:rPr>
        <w:t>6</w:t>
      </w:r>
      <w:r w:rsidRPr="005A214C">
        <w:t>】</w:t>
      </w:r>
    </w:p>
    <w:p w14:paraId="515ED38E" w14:textId="77777777" w:rsidR="00890645" w:rsidRDefault="00890645" w:rsidP="00743E8C">
      <w:pPr>
        <w:pStyle w:val="21"/>
      </w:pPr>
      <w:r>
        <w:t>提案人：張雅琳</w:t>
      </w:r>
    </w:p>
    <w:p w14:paraId="3DE6C162" w14:textId="77777777" w:rsidR="00890645" w:rsidRDefault="00890645" w:rsidP="00743E8C">
      <w:pPr>
        <w:pStyle w:val="21"/>
      </w:pPr>
      <w:r>
        <w:rPr>
          <w:rFonts w:hint="eastAsia"/>
        </w:rPr>
        <w:t>連署人：沈發惠  莊瑞雄</w:t>
      </w:r>
    </w:p>
    <w:p w14:paraId="58959B6D" w14:textId="77777777" w:rsidR="00890645" w:rsidRDefault="00890645" w:rsidP="00743E8C">
      <w:pPr>
        <w:pStyle w:val="1"/>
      </w:pPr>
      <w:r w:rsidRPr="005A214C">
        <w:t>總統府設置之「國家氣候變遷對策委員會」，係國家重大氣候治</w:t>
      </w:r>
      <w:r w:rsidRPr="005A214C">
        <w:lastRenderedPageBreak/>
        <w:t>理及淨零轉型政策之重要諮詢平台，所研議事項涉及淨零路徑、能源轉型、公正轉型、國土調適韌性及永續生活等重大公共政策，對不同世代均有深遠影響。惟氣候變遷所造成之極端氣候、空氣污染、災害風險、居住環境變遷及未來產業轉型成本，將長期影響兒童及少年之健康、受教育權、生活環境及未來發展機會；且兒少雖為氣候政策之重要利害關係人，現行公共決策過程中仍較缺乏兒少觀點之制度性納入機制。</w:t>
      </w:r>
    </w:p>
    <w:p w14:paraId="7E7881BB" w14:textId="36D658DB" w:rsidR="00890645" w:rsidRDefault="00890645" w:rsidP="00743E8C">
      <w:pPr>
        <w:pStyle w:val="10"/>
      </w:pPr>
      <w:r w:rsidRPr="005A1BD6">
        <w:t>爰</w:t>
      </w:r>
      <w:r w:rsidR="006E0AC0" w:rsidRPr="005A1BD6">
        <w:rPr>
          <w:rFonts w:hint="eastAsia"/>
        </w:rPr>
        <w:t>建請</w:t>
      </w:r>
      <w:r w:rsidRPr="005A1BD6">
        <w:t>總統府於「國家氣候變遷對策委員會」議題設定及會議運作中，應強化兒童及少年觀點之參與及代表性，積極納入兒少權益、教育、健康、環境及世代正義等相關專家意見，並研議建立兒少意見蒐集及回饋機制，於</w:t>
      </w:r>
      <w:r w:rsidRPr="005A1BD6">
        <w:rPr>
          <w:rFonts w:hint="eastAsia"/>
        </w:rPr>
        <w:t>3</w:t>
      </w:r>
      <w:r w:rsidRPr="005A1BD6">
        <w:t>個月內向立法院司法及法制委員會提出書面報告，說明現行兒少觀點納入情形、參與機制及後續改善</w:t>
      </w:r>
      <w:r w:rsidR="006E0AC0" w:rsidRPr="005A1BD6">
        <w:rPr>
          <w:rFonts w:hint="eastAsia"/>
        </w:rPr>
        <w:t>情形</w:t>
      </w:r>
      <w:r w:rsidRPr="005A1BD6">
        <w:t>，以</w:t>
      </w:r>
      <w:r w:rsidRPr="005A214C">
        <w:t>確保氣候政策兼顧世代正義與兒少權益保障。【2</w:t>
      </w:r>
      <w:r>
        <w:rPr>
          <w:rFonts w:hint="eastAsia"/>
        </w:rPr>
        <w:t>7</w:t>
      </w:r>
      <w:r w:rsidRPr="005A214C">
        <w:t>】</w:t>
      </w:r>
    </w:p>
    <w:p w14:paraId="7015DAAB" w14:textId="77777777" w:rsidR="00890645" w:rsidRDefault="00890645" w:rsidP="00743E8C">
      <w:pPr>
        <w:pStyle w:val="21"/>
      </w:pPr>
      <w:r>
        <w:t>提案人：張雅琳</w:t>
      </w:r>
    </w:p>
    <w:p w14:paraId="1172B627" w14:textId="77777777" w:rsidR="00890645" w:rsidRDefault="00890645" w:rsidP="00743E8C">
      <w:pPr>
        <w:pStyle w:val="21"/>
      </w:pPr>
      <w:r>
        <w:rPr>
          <w:rFonts w:hint="eastAsia"/>
        </w:rPr>
        <w:t>連署人：沈發惠  莊瑞雄</w:t>
      </w:r>
    </w:p>
    <w:p w14:paraId="78C2BC86" w14:textId="77777777" w:rsidR="00890645" w:rsidRDefault="00890645" w:rsidP="00743E8C">
      <w:pPr>
        <w:pStyle w:val="1"/>
      </w:pPr>
      <w:r w:rsidRPr="005A214C">
        <w:t>總統府為國家核心象徵機關，亦為人民理解憲政制度、民主運作及公共治理之重要場域。依《兒童權利公約》第12條規定，兒童有權就影響其本身之所有事項自由表示意見，其意見並應依其年齡及成熟度予以適當重視；另依兒童權利公約施行法精神，政府機關於規劃公共政策、民主教育及開放參與機制時，應重視兒童及少年表達意見、取得資訊及參與公共事務之權利。惟現行總統府相關公共參與及民主教育機制，對兒童及少年之制度性參與管道仍有強化空間。</w:t>
      </w:r>
    </w:p>
    <w:p w14:paraId="61C75005" w14:textId="257E1313" w:rsidR="00890645" w:rsidRDefault="00890645" w:rsidP="00743E8C">
      <w:pPr>
        <w:pStyle w:val="10"/>
      </w:pPr>
      <w:r w:rsidRPr="005A214C">
        <w:t>爰要求總統府研議建立兒少友善之開放參與機制，包括規劃適合兒少理解之總統府參訪、民主及憲政教育內容、兒少公共議題諮詢機制、意見蒐集與回饋制度，並</w:t>
      </w:r>
      <w:r w:rsidRPr="005A1BD6">
        <w:t>以兒少可理解之布置說明總統府職能及重大公共政策。綜上，建請</w:t>
      </w:r>
      <w:r w:rsidRPr="005A1BD6">
        <w:rPr>
          <w:rFonts w:hint="eastAsia"/>
        </w:rPr>
        <w:t>3</w:t>
      </w:r>
      <w:r w:rsidRPr="005A1BD6">
        <w:t>個</w:t>
      </w:r>
      <w:r w:rsidRPr="005A214C">
        <w:t>月內向立法院司法及法制委員會提出書面報告，以落實《兒童權利公約》第12條所揭示之兒少表意權與參與精神，促進兒童及少年對民主治理之理解與公共參與。【2</w:t>
      </w:r>
      <w:r>
        <w:rPr>
          <w:rFonts w:hint="eastAsia"/>
        </w:rPr>
        <w:t>8</w:t>
      </w:r>
      <w:r w:rsidRPr="005A214C">
        <w:t>】</w:t>
      </w:r>
    </w:p>
    <w:p w14:paraId="3655CD06" w14:textId="77777777" w:rsidR="00890645" w:rsidRDefault="00890645" w:rsidP="00743E8C">
      <w:pPr>
        <w:pStyle w:val="21"/>
      </w:pPr>
      <w:r>
        <w:t>提案人：張雅琳</w:t>
      </w:r>
    </w:p>
    <w:p w14:paraId="0C5F8CFC" w14:textId="61A97947" w:rsidR="00890645" w:rsidRDefault="00890645" w:rsidP="00743E8C">
      <w:pPr>
        <w:pStyle w:val="21"/>
      </w:pPr>
      <w:r w:rsidRPr="00890645">
        <w:rPr>
          <w:rFonts w:hint="eastAsia"/>
        </w:rPr>
        <w:t>連署人：沈發惠  莊瑞雄</w:t>
      </w:r>
    </w:p>
    <w:p w14:paraId="7551DA39" w14:textId="3FCE50C5" w:rsidR="006E0AC0" w:rsidRPr="006E0AC0" w:rsidRDefault="006E0AC0" w:rsidP="00DE4ACC">
      <w:pPr>
        <w:pStyle w:val="1"/>
        <w:spacing w:beforeLines="10" w:before="36" w:afterLines="10" w:after="36" w:line="264" w:lineRule="auto"/>
        <w:ind w:rightChars="23" w:right="55"/>
      </w:pPr>
      <w:r w:rsidRPr="006E0AC0">
        <w:rPr>
          <w:rFonts w:hint="eastAsia"/>
        </w:rPr>
        <w:t>我國推動性別主流化已逾二十年，行政院、立法院、司法院、監察院、考試院皆已設置專責單位推動組織內部性別平等。總統府身為我國政治中樞，自</w:t>
      </w:r>
      <w:r>
        <w:rPr>
          <w:rFonts w:hint="eastAsia"/>
        </w:rPr>
        <w:t>102</w:t>
      </w:r>
      <w:r w:rsidRPr="006E0AC0">
        <w:rPr>
          <w:rFonts w:hint="eastAsia"/>
        </w:rPr>
        <w:t>年起亦陸續舉辦</w:t>
      </w:r>
      <w:r>
        <w:rPr>
          <w:rFonts w:hint="eastAsia"/>
        </w:rPr>
        <w:t>27</w:t>
      </w:r>
      <w:r w:rsidRPr="006E0AC0">
        <w:rPr>
          <w:rFonts w:hint="eastAsia"/>
        </w:rPr>
        <w:t>場相關講</w:t>
      </w:r>
      <w:r w:rsidRPr="006E0AC0">
        <w:rPr>
          <w:rFonts w:hint="eastAsia"/>
        </w:rPr>
        <w:lastRenderedPageBreak/>
        <w:t>座，積極投入內部同仁之觀念提升，其投入意識培力之初衷實值肯定。</w:t>
      </w:r>
    </w:p>
    <w:p w14:paraId="602DB544" w14:textId="22E2B5D3" w:rsidR="006E0AC0" w:rsidRPr="006E0AC0" w:rsidRDefault="006E0AC0" w:rsidP="006E0AC0">
      <w:pPr>
        <w:pStyle w:val="10"/>
      </w:pPr>
      <w:r w:rsidRPr="006E0AC0">
        <w:rPr>
          <w:rFonts w:hint="eastAsia"/>
        </w:rPr>
        <w:t>然總統府之組織文化具關鍵之示範效應，為</w:t>
      </w:r>
      <w:r w:rsidR="002318B2">
        <w:rPr>
          <w:rFonts w:hint="eastAsia"/>
        </w:rPr>
        <w:t>顯</w:t>
      </w:r>
      <w:r w:rsidRPr="006E0AC0">
        <w:rPr>
          <w:rFonts w:hint="eastAsia"/>
        </w:rPr>
        <w:t>示中央政府對性別平等價值之一致肯認，現行機制仍有可精進之處。</w:t>
      </w:r>
    </w:p>
    <w:p w14:paraId="2D0193D7" w14:textId="77777777" w:rsidR="006E0AC0" w:rsidRPr="006E0AC0" w:rsidRDefault="006E0AC0" w:rsidP="006E0AC0">
      <w:pPr>
        <w:pStyle w:val="10"/>
      </w:pPr>
      <w:r w:rsidRPr="006E0AC0">
        <w:rPr>
          <w:rFonts w:hint="eastAsia"/>
        </w:rPr>
        <w:t>首先，總統府現雖設有「性別平等小組」，惟相關運作情形並未公開上網，民眾難以了解；其次，為響應國家性別主流化策略，總統府實宜增加資源投入，以深化內部人員之性別敏感度與意識培力。</w:t>
      </w:r>
    </w:p>
    <w:p w14:paraId="3D9E8909" w14:textId="453BD534" w:rsidR="00743E8C" w:rsidRDefault="006E0AC0" w:rsidP="006E0AC0">
      <w:pPr>
        <w:pStyle w:val="10"/>
      </w:pPr>
      <w:r>
        <w:rPr>
          <w:rFonts w:hint="eastAsia"/>
        </w:rPr>
        <w:t>爰</w:t>
      </w:r>
      <w:r w:rsidRPr="006E0AC0">
        <w:rPr>
          <w:rFonts w:hint="eastAsia"/>
        </w:rPr>
        <w:t>建請總統府針對上述精進作為，就「性別平等小組資訊公開可行性」以及「強化內部同仁性別意識培力之具體計畫」，做成書面報告，於</w:t>
      </w:r>
      <w:r>
        <w:rPr>
          <w:rFonts w:hint="eastAsia"/>
        </w:rPr>
        <w:t>3個月內提交予立法</w:t>
      </w:r>
      <w:r w:rsidRPr="006E0AC0">
        <w:rPr>
          <w:rFonts w:hint="eastAsia"/>
        </w:rPr>
        <w:t>院司法及法制委員會。</w:t>
      </w:r>
      <w:r w:rsidRPr="005A214C">
        <w:t>【</w:t>
      </w:r>
      <w:r>
        <w:rPr>
          <w:rFonts w:hint="eastAsia"/>
        </w:rPr>
        <w:t>29</w:t>
      </w:r>
      <w:r w:rsidRPr="005A214C">
        <w:t>】</w:t>
      </w:r>
    </w:p>
    <w:p w14:paraId="2F55911B" w14:textId="4E7557E5" w:rsidR="006E0AC0" w:rsidRDefault="006E0AC0" w:rsidP="006E0AC0">
      <w:pPr>
        <w:pStyle w:val="21"/>
      </w:pPr>
      <w:r>
        <w:t>提案人：</w:t>
      </w:r>
      <w:r>
        <w:rPr>
          <w:rFonts w:hint="eastAsia"/>
        </w:rPr>
        <w:t xml:space="preserve">范 </w:t>
      </w:r>
      <w:r>
        <w:t xml:space="preserve"> </w:t>
      </w:r>
      <w:r>
        <w:rPr>
          <w:rFonts w:hint="eastAsia"/>
        </w:rPr>
        <w:t>雲</w:t>
      </w:r>
    </w:p>
    <w:p w14:paraId="236F0BA7" w14:textId="0BD3ECE5" w:rsidR="006E0AC0" w:rsidRPr="00890645" w:rsidRDefault="006E0AC0" w:rsidP="006E0AC0">
      <w:pPr>
        <w:pStyle w:val="21"/>
        <w:rPr>
          <w:b/>
        </w:rPr>
      </w:pPr>
      <w:r w:rsidRPr="00890645">
        <w:rPr>
          <w:rFonts w:hint="eastAsia"/>
        </w:rPr>
        <w:t xml:space="preserve">連署人：莊瑞雄  沈發惠 </w:t>
      </w:r>
    </w:p>
    <w:p w14:paraId="5417F497" w14:textId="51C9A06C" w:rsidR="00890645" w:rsidRPr="00F64ECF" w:rsidRDefault="00890645" w:rsidP="00DE4ACC">
      <w:pPr>
        <w:snapToGrid w:val="0"/>
        <w:ind w:leftChars="150" w:left="1340" w:hangingChars="350" w:hanging="980"/>
        <w:jc w:val="both"/>
        <w:rPr>
          <w:rFonts w:ascii="標楷體" w:eastAsia="標楷體" w:hAnsi="標楷體" w:cs="Times New Roman"/>
          <w:color w:val="000000"/>
          <w:sz w:val="28"/>
          <w:szCs w:val="28"/>
        </w:rPr>
      </w:pPr>
      <w:r w:rsidRPr="00890645">
        <w:rPr>
          <w:rFonts w:ascii="標楷體" w:eastAsia="標楷體" w:hAnsi="標楷體"/>
          <w:color w:val="000000"/>
          <w:sz w:val="28"/>
          <w:szCs w:val="28"/>
        </w:rPr>
        <w:t>第2項 國家安全會議</w:t>
      </w:r>
      <w:r w:rsidR="005A2FA4">
        <w:rPr>
          <w:rFonts w:ascii="標楷體" w:eastAsia="標楷體" w:hAnsi="標楷體" w:hint="eastAsia"/>
          <w:color w:val="000000"/>
          <w:sz w:val="28"/>
          <w:szCs w:val="28"/>
        </w:rPr>
        <w:t>原列</w:t>
      </w:r>
      <w:r w:rsidRPr="00890645">
        <w:rPr>
          <w:rFonts w:ascii="標楷體" w:eastAsia="標楷體" w:hAnsi="標楷體"/>
          <w:color w:val="000000"/>
          <w:sz w:val="28"/>
          <w:szCs w:val="28"/>
        </w:rPr>
        <w:t>2億4,663萬1千元，</w:t>
      </w:r>
      <w:r w:rsidR="00DE4ACC">
        <w:rPr>
          <w:rFonts w:ascii="標楷體" w:eastAsia="標楷體" w:hAnsi="標楷體" w:hint="eastAsia"/>
          <w:color w:val="000000"/>
          <w:sz w:val="28"/>
          <w:szCs w:val="28"/>
        </w:rPr>
        <w:t>減列「業務費」項下「國內旅費」40萬元</w:t>
      </w:r>
      <w:r w:rsidR="00DE4ACC" w:rsidRPr="00DE4ACC">
        <w:rPr>
          <w:rFonts w:ascii="標楷體" w:eastAsia="標楷體" w:hAnsi="標楷體" w:hint="eastAsia"/>
          <w:color w:val="000000"/>
          <w:sz w:val="28"/>
          <w:szCs w:val="28"/>
        </w:rPr>
        <w:t>，其餘均照列，改列為</w:t>
      </w:r>
      <w:r w:rsidR="00DE4ACC">
        <w:rPr>
          <w:rFonts w:ascii="標楷體" w:eastAsia="標楷體" w:hAnsi="標楷體" w:hint="eastAsia"/>
          <w:color w:val="000000"/>
          <w:sz w:val="28"/>
          <w:szCs w:val="28"/>
        </w:rPr>
        <w:t>2</w:t>
      </w:r>
      <w:r w:rsidR="00DE4ACC" w:rsidRPr="00DE4ACC">
        <w:rPr>
          <w:rFonts w:ascii="標楷體" w:eastAsia="標楷體" w:hAnsi="標楷體" w:hint="eastAsia"/>
          <w:color w:val="000000"/>
          <w:sz w:val="28"/>
          <w:szCs w:val="28"/>
        </w:rPr>
        <w:t>億</w:t>
      </w:r>
      <w:r w:rsidR="00DE4ACC">
        <w:rPr>
          <w:rFonts w:ascii="標楷體" w:eastAsia="標楷體" w:hAnsi="標楷體" w:hint="eastAsia"/>
          <w:color w:val="000000"/>
          <w:sz w:val="28"/>
          <w:szCs w:val="28"/>
        </w:rPr>
        <w:t>4,623</w:t>
      </w:r>
      <w:r w:rsidR="00DE4ACC" w:rsidRPr="00DE4ACC">
        <w:rPr>
          <w:rFonts w:ascii="標楷體" w:eastAsia="標楷體" w:hAnsi="標楷體" w:hint="eastAsia"/>
          <w:color w:val="000000"/>
          <w:sz w:val="28"/>
          <w:szCs w:val="28"/>
        </w:rPr>
        <w:t>萬</w:t>
      </w:r>
      <w:r w:rsidR="00DE4ACC">
        <w:rPr>
          <w:rFonts w:ascii="標楷體" w:eastAsia="標楷體" w:hAnsi="標楷體" w:hint="eastAsia"/>
          <w:color w:val="000000"/>
          <w:sz w:val="28"/>
          <w:szCs w:val="28"/>
        </w:rPr>
        <w:t>1千元</w:t>
      </w:r>
      <w:r w:rsidRPr="00890645">
        <w:rPr>
          <w:rFonts w:ascii="標楷體" w:eastAsia="標楷體" w:hAnsi="標楷體"/>
          <w:color w:val="000000"/>
          <w:sz w:val="28"/>
          <w:szCs w:val="28"/>
        </w:rPr>
        <w:t>。</w:t>
      </w:r>
      <w:r w:rsidR="00F64ECF" w:rsidRPr="00F64ECF">
        <w:rPr>
          <w:rFonts w:ascii="標楷體" w:eastAsia="標楷體" w:hAnsi="標楷體" w:cs="Times New Roman"/>
          <w:color w:val="000000"/>
          <w:sz w:val="28"/>
          <w:szCs w:val="28"/>
        </w:rPr>
        <w:t>【</w:t>
      </w:r>
      <w:r w:rsidR="00F64ECF">
        <w:rPr>
          <w:rFonts w:ascii="標楷體" w:eastAsia="標楷體" w:hAnsi="標楷體" w:cs="Times New Roman" w:hint="eastAsia"/>
          <w:color w:val="000000"/>
          <w:sz w:val="28"/>
          <w:szCs w:val="28"/>
        </w:rPr>
        <w:t>36</w:t>
      </w:r>
      <w:r w:rsidR="00F64ECF" w:rsidRPr="00F64ECF">
        <w:rPr>
          <w:rFonts w:ascii="標楷體" w:eastAsia="標楷體" w:hAnsi="標楷體" w:cs="Times New Roman"/>
          <w:color w:val="000000"/>
          <w:sz w:val="28"/>
          <w:szCs w:val="28"/>
        </w:rPr>
        <w:t>】</w:t>
      </w:r>
    </w:p>
    <w:p w14:paraId="360F248A" w14:textId="693F7DD0" w:rsidR="00890645" w:rsidRPr="00890645" w:rsidRDefault="00890645" w:rsidP="0078011D">
      <w:pPr>
        <w:snapToGrid w:val="0"/>
        <w:ind w:leftChars="150" w:left="1201" w:hangingChars="300" w:hanging="841"/>
        <w:jc w:val="both"/>
        <w:rPr>
          <w:rFonts w:ascii="標楷體" w:eastAsia="標楷體" w:hAnsi="標楷體"/>
          <w:color w:val="000000"/>
          <w:sz w:val="28"/>
          <w:szCs w:val="28"/>
        </w:rPr>
      </w:pPr>
      <w:r w:rsidRPr="0078011D">
        <w:rPr>
          <w:rFonts w:ascii="標楷體" w:eastAsia="標楷體" w:hAnsi="標楷體"/>
          <w:b/>
          <w:bCs/>
          <w:sz w:val="28"/>
          <w:szCs w:val="28"/>
        </w:rPr>
        <w:t>本項提案</w:t>
      </w:r>
      <w:r w:rsidR="00DE4ACC">
        <w:rPr>
          <w:rFonts w:ascii="標楷體" w:eastAsia="標楷體" w:hAnsi="標楷體" w:hint="eastAsia"/>
          <w:b/>
          <w:bCs/>
          <w:sz w:val="28"/>
          <w:szCs w:val="28"/>
        </w:rPr>
        <w:t>6</w:t>
      </w:r>
      <w:r w:rsidRPr="0078011D">
        <w:rPr>
          <w:rFonts w:ascii="標楷體" w:eastAsia="標楷體" w:hAnsi="標楷體"/>
          <w:b/>
          <w:bCs/>
          <w:sz w:val="28"/>
          <w:szCs w:val="28"/>
        </w:rPr>
        <w:t>案，保留，送院會處理：</w:t>
      </w:r>
    </w:p>
    <w:p w14:paraId="4F15522F" w14:textId="77777777" w:rsidR="00DE4ACC" w:rsidRPr="00E97ED0" w:rsidRDefault="00DE4ACC" w:rsidP="002318B2">
      <w:pPr>
        <w:pStyle w:val="a"/>
        <w:numPr>
          <w:ilvl w:val="0"/>
          <w:numId w:val="35"/>
        </w:numPr>
        <w:ind w:left="924" w:hanging="567"/>
      </w:pPr>
      <w:r w:rsidRPr="00E97ED0">
        <w:rPr>
          <w:rFonts w:hint="eastAsia"/>
        </w:rPr>
        <w:t>國家安全會議(以下簡稱國安會)115年度預算案</w:t>
      </w:r>
      <w:r w:rsidRPr="00E97ED0">
        <w:t>編列246,631千元，比114年度法定預算223,589千元，增加23,042千元（</w:t>
      </w:r>
      <w:r w:rsidRPr="00E97ED0">
        <w:rPr>
          <w:rFonts w:hint="eastAsia"/>
        </w:rPr>
        <w:t>逾2千3百萬元</w:t>
      </w:r>
      <w:r w:rsidRPr="00E97ED0">
        <w:t>），成長幅度</w:t>
      </w:r>
      <w:r w:rsidRPr="00E97ED0">
        <w:rPr>
          <w:rFonts w:hint="eastAsia"/>
        </w:rPr>
        <w:t>1</w:t>
      </w:r>
      <w:r w:rsidRPr="00E97ED0">
        <w:t>0.31%。</w:t>
      </w:r>
    </w:p>
    <w:p w14:paraId="7FFEB4C1" w14:textId="77777777" w:rsidR="00DE4ACC" w:rsidRDefault="00DE4ACC" w:rsidP="005A2FA4">
      <w:pPr>
        <w:pStyle w:val="10"/>
      </w:pPr>
      <w:r w:rsidRPr="00E97ED0">
        <w:rPr>
          <w:rFonts w:hint="eastAsia"/>
        </w:rPr>
        <w:t>國安會115年「</w:t>
      </w:r>
      <w:r>
        <w:rPr>
          <w:rFonts w:hint="eastAsia"/>
        </w:rPr>
        <w:t>教育訓練費</w:t>
      </w:r>
      <w:r w:rsidRPr="00E97ED0">
        <w:rPr>
          <w:rFonts w:hint="eastAsia"/>
        </w:rPr>
        <w:t>」編列預算</w:t>
      </w:r>
      <w:r>
        <w:rPr>
          <w:rFonts w:hint="eastAsia"/>
        </w:rPr>
        <w:t>200</w:t>
      </w:r>
      <w:r w:rsidRPr="005B2C89">
        <w:rPr>
          <w:rFonts w:hint="eastAsia"/>
        </w:rPr>
        <w:t>千</w:t>
      </w:r>
      <w:r w:rsidRPr="00E97ED0">
        <w:rPr>
          <w:rFonts w:hint="eastAsia"/>
        </w:rPr>
        <w:t>元，</w:t>
      </w:r>
      <w:r>
        <w:rPr>
          <w:rFonts w:hint="eastAsia"/>
        </w:rPr>
        <w:t>與</w:t>
      </w:r>
      <w:r w:rsidRPr="00E97ED0">
        <w:rPr>
          <w:rFonts w:hint="eastAsia"/>
        </w:rPr>
        <w:t>114年度預算數</w:t>
      </w:r>
      <w:r>
        <w:rPr>
          <w:rFonts w:hint="eastAsia"/>
        </w:rPr>
        <w:t>20</w:t>
      </w:r>
      <w:r w:rsidRPr="00E97ED0">
        <w:rPr>
          <w:rFonts w:hint="eastAsia"/>
        </w:rPr>
        <w:t>千元</w:t>
      </w:r>
      <w:r>
        <w:rPr>
          <w:rFonts w:hint="eastAsia"/>
        </w:rPr>
        <w:t>相同。</w:t>
      </w:r>
    </w:p>
    <w:tbl>
      <w:tblPr>
        <w:tblpPr w:leftFromText="180" w:rightFromText="180" w:vertAnchor="text" w:horzAnchor="margin" w:tblpY="194"/>
        <w:tblW w:w="89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78"/>
        <w:gridCol w:w="1665"/>
        <w:gridCol w:w="1666"/>
        <w:gridCol w:w="1665"/>
        <w:gridCol w:w="1666"/>
        <w:gridCol w:w="1276"/>
      </w:tblGrid>
      <w:tr w:rsidR="00DE4ACC" w:rsidRPr="00E97ED0" w14:paraId="07F8E813" w14:textId="77777777" w:rsidTr="00DE4ACC">
        <w:trPr>
          <w:tblHeader/>
        </w:trPr>
        <w:tc>
          <w:tcPr>
            <w:tcW w:w="8916" w:type="dxa"/>
            <w:gridSpan w:val="6"/>
          </w:tcPr>
          <w:p w14:paraId="69694E97" w14:textId="77777777" w:rsidR="00DE4ACC" w:rsidRPr="00E97ED0" w:rsidRDefault="00DE4ACC" w:rsidP="00DE4ACC">
            <w:pPr>
              <w:spacing w:line="280" w:lineRule="exact"/>
              <w:jc w:val="center"/>
              <w:rPr>
                <w:rFonts w:ascii="微軟正黑體" w:eastAsia="微軟正黑體" w:hAnsi="微軟正黑體" w:cstheme="minorHAnsi"/>
                <w:b/>
                <w:bCs/>
                <w:szCs w:val="24"/>
              </w:rPr>
            </w:pPr>
            <w:r>
              <w:rPr>
                <w:rFonts w:ascii="微軟正黑體" w:eastAsia="微軟正黑體" w:hAnsi="微軟正黑體" w:cstheme="minorHAnsi" w:hint="eastAsia"/>
                <w:b/>
                <w:bCs/>
                <w:szCs w:val="24"/>
              </w:rPr>
              <w:t>教育訓練費</w:t>
            </w:r>
          </w:p>
        </w:tc>
      </w:tr>
      <w:tr w:rsidR="00DE4ACC" w:rsidRPr="00E97ED0" w14:paraId="267EB142" w14:textId="77777777" w:rsidTr="00DE4ACC">
        <w:trPr>
          <w:tblHeader/>
        </w:trPr>
        <w:tc>
          <w:tcPr>
            <w:tcW w:w="978" w:type="dxa"/>
          </w:tcPr>
          <w:p w14:paraId="72EBE5FC"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sidRPr="00E97ED0">
              <w:rPr>
                <w:rFonts w:ascii="微軟正黑體" w:eastAsia="微軟正黑體" w:hAnsi="微軟正黑體" w:cstheme="minorHAnsi" w:hint="eastAsia"/>
                <w:b/>
                <w:sz w:val="20"/>
                <w:szCs w:val="20"/>
              </w:rPr>
              <w:t>年度</w:t>
            </w:r>
          </w:p>
        </w:tc>
        <w:tc>
          <w:tcPr>
            <w:tcW w:w="1665" w:type="dxa"/>
          </w:tcPr>
          <w:p w14:paraId="5EE2E084"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sidRPr="003352EA">
              <w:rPr>
                <w:rFonts w:hint="eastAsia"/>
              </w:rPr>
              <w:t>預算</w:t>
            </w:r>
            <w:r>
              <w:rPr>
                <w:rFonts w:hint="eastAsia"/>
              </w:rPr>
              <w:t>數</w:t>
            </w:r>
            <w:r>
              <w:rPr>
                <w:rFonts w:hint="eastAsia"/>
              </w:rPr>
              <w:t>/</w:t>
            </w:r>
            <w:r>
              <w:rPr>
                <w:rFonts w:hint="eastAsia"/>
              </w:rPr>
              <w:t>千元</w:t>
            </w:r>
          </w:p>
        </w:tc>
        <w:tc>
          <w:tcPr>
            <w:tcW w:w="1666" w:type="dxa"/>
          </w:tcPr>
          <w:p w14:paraId="40CC1E6A"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sidRPr="003352EA">
              <w:rPr>
                <w:rFonts w:hint="eastAsia"/>
              </w:rPr>
              <w:t>決算</w:t>
            </w:r>
            <w:r>
              <w:rPr>
                <w:rFonts w:hint="eastAsia"/>
              </w:rPr>
              <w:t>數</w:t>
            </w:r>
            <w:r w:rsidRPr="003352EA">
              <w:rPr>
                <w:rFonts w:hint="eastAsia"/>
              </w:rPr>
              <w:t>/</w:t>
            </w:r>
            <w:r w:rsidRPr="003352EA">
              <w:rPr>
                <w:rFonts w:hint="eastAsia"/>
              </w:rPr>
              <w:t>千元</w:t>
            </w:r>
          </w:p>
        </w:tc>
        <w:tc>
          <w:tcPr>
            <w:tcW w:w="1665" w:type="dxa"/>
          </w:tcPr>
          <w:p w14:paraId="71B7A903"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sidRPr="003352EA">
              <w:rPr>
                <w:rFonts w:hint="eastAsia"/>
              </w:rPr>
              <w:t>執行率</w:t>
            </w:r>
          </w:p>
        </w:tc>
        <w:tc>
          <w:tcPr>
            <w:tcW w:w="1666" w:type="dxa"/>
            <w:shd w:val="clear" w:color="auto" w:fill="auto"/>
            <w:vAlign w:val="center"/>
          </w:tcPr>
          <w:p w14:paraId="2DDBD67F"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剩餘數/千元</w:t>
            </w:r>
          </w:p>
        </w:tc>
        <w:tc>
          <w:tcPr>
            <w:tcW w:w="1276" w:type="dxa"/>
            <w:shd w:val="clear" w:color="auto" w:fill="auto"/>
            <w:vAlign w:val="center"/>
          </w:tcPr>
          <w:p w14:paraId="65C08A18" w14:textId="77777777" w:rsidR="00DE4ACC" w:rsidRPr="00E97ED0" w:rsidRDefault="00DE4ACC" w:rsidP="00DE4ACC">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備註</w:t>
            </w:r>
          </w:p>
        </w:tc>
      </w:tr>
      <w:tr w:rsidR="00DE4ACC" w:rsidRPr="00E97ED0" w14:paraId="0D1E33B0" w14:textId="77777777" w:rsidTr="00DE4ACC">
        <w:tc>
          <w:tcPr>
            <w:tcW w:w="978" w:type="dxa"/>
          </w:tcPr>
          <w:p w14:paraId="6562F216" w14:textId="77777777" w:rsidR="00DE4ACC" w:rsidRPr="00E97ED0" w:rsidRDefault="00DE4AC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1665" w:type="dxa"/>
          </w:tcPr>
          <w:p w14:paraId="1FEE3047" w14:textId="77777777" w:rsidR="00DE4ACC" w:rsidRPr="00E97ED0" w:rsidRDefault="00DE4ACC" w:rsidP="00DE4ACC">
            <w:pPr>
              <w:spacing w:line="280" w:lineRule="exact"/>
              <w:jc w:val="right"/>
              <w:rPr>
                <w:rFonts w:eastAsia="微軟正黑體" w:cstheme="minorHAnsi"/>
                <w:szCs w:val="24"/>
              </w:rPr>
            </w:pPr>
            <w:r w:rsidRPr="000E35A0">
              <w:t xml:space="preserve">200 </w:t>
            </w:r>
          </w:p>
        </w:tc>
        <w:tc>
          <w:tcPr>
            <w:tcW w:w="1666" w:type="dxa"/>
          </w:tcPr>
          <w:p w14:paraId="0FBED80E" w14:textId="77777777" w:rsidR="00DE4ACC" w:rsidRPr="00D34ED4" w:rsidRDefault="00DE4ACC" w:rsidP="00DE4ACC">
            <w:pPr>
              <w:spacing w:line="280" w:lineRule="exact"/>
              <w:jc w:val="right"/>
              <w:rPr>
                <w:rFonts w:ascii="微軟正黑體" w:eastAsia="微軟正黑體" w:hAnsi="微軟正黑體" w:cstheme="minorHAnsi"/>
                <w:b/>
                <w:szCs w:val="24"/>
              </w:rPr>
            </w:pPr>
            <w:r w:rsidRPr="000E35A0">
              <w:t xml:space="preserve">84 </w:t>
            </w:r>
          </w:p>
        </w:tc>
        <w:tc>
          <w:tcPr>
            <w:tcW w:w="1665" w:type="dxa"/>
          </w:tcPr>
          <w:p w14:paraId="277356C5" w14:textId="77777777" w:rsidR="00DE4ACC" w:rsidRPr="005D00F1" w:rsidRDefault="00DE4ACC" w:rsidP="00DE4ACC">
            <w:pPr>
              <w:spacing w:line="280" w:lineRule="exact"/>
              <w:jc w:val="right"/>
              <w:rPr>
                <w:rFonts w:ascii="微軟正黑體" w:eastAsia="微軟正黑體" w:hAnsi="微軟正黑體" w:cstheme="minorHAnsi"/>
                <w:b/>
                <w:sz w:val="20"/>
                <w:szCs w:val="20"/>
              </w:rPr>
            </w:pPr>
            <w:r w:rsidRPr="000E35A0">
              <w:t>42.00%</w:t>
            </w:r>
          </w:p>
        </w:tc>
        <w:tc>
          <w:tcPr>
            <w:tcW w:w="1666" w:type="dxa"/>
            <w:shd w:val="clear" w:color="auto" w:fill="auto"/>
          </w:tcPr>
          <w:p w14:paraId="0ED49A90" w14:textId="77777777" w:rsidR="00DE4ACC" w:rsidRPr="00E97ED0" w:rsidRDefault="00DE4ACC" w:rsidP="00DE4ACC">
            <w:pPr>
              <w:spacing w:line="280" w:lineRule="exact"/>
              <w:jc w:val="right"/>
              <w:rPr>
                <w:rFonts w:ascii="微軟正黑體" w:eastAsia="微軟正黑體" w:hAnsi="微軟正黑體" w:cstheme="minorHAnsi"/>
                <w:szCs w:val="24"/>
              </w:rPr>
            </w:pPr>
            <w:r w:rsidRPr="000E35A0">
              <w:t xml:space="preserve">116 </w:t>
            </w:r>
          </w:p>
        </w:tc>
        <w:tc>
          <w:tcPr>
            <w:tcW w:w="1276" w:type="dxa"/>
            <w:shd w:val="clear" w:color="auto" w:fill="auto"/>
          </w:tcPr>
          <w:p w14:paraId="0D3A355F" w14:textId="77777777" w:rsidR="00DE4ACC" w:rsidRPr="00E97ED0" w:rsidRDefault="00DE4ACC" w:rsidP="00DE4ACC">
            <w:pPr>
              <w:spacing w:line="280" w:lineRule="exact"/>
              <w:ind w:rightChars="27" w:right="65"/>
              <w:jc w:val="center"/>
              <w:rPr>
                <w:rFonts w:eastAsia="微軟正黑體" w:cstheme="minorHAnsi"/>
                <w:szCs w:val="24"/>
              </w:rPr>
            </w:pPr>
          </w:p>
        </w:tc>
      </w:tr>
      <w:tr w:rsidR="00DE4ACC" w:rsidRPr="00E97ED0" w14:paraId="503C9664" w14:textId="77777777" w:rsidTr="00DE4ACC">
        <w:tc>
          <w:tcPr>
            <w:tcW w:w="978" w:type="dxa"/>
          </w:tcPr>
          <w:p w14:paraId="5AB1A6ED" w14:textId="77777777" w:rsidR="00DE4ACC" w:rsidRPr="00E97ED0" w:rsidRDefault="00DE4AC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1665" w:type="dxa"/>
          </w:tcPr>
          <w:p w14:paraId="6C5DB094" w14:textId="77777777" w:rsidR="00DE4ACC" w:rsidRPr="00E97ED0" w:rsidRDefault="00DE4ACC" w:rsidP="00DE4ACC">
            <w:pPr>
              <w:spacing w:line="280" w:lineRule="exact"/>
              <w:jc w:val="right"/>
              <w:rPr>
                <w:rFonts w:eastAsia="微軟正黑體" w:cstheme="minorHAnsi"/>
                <w:szCs w:val="24"/>
              </w:rPr>
            </w:pPr>
            <w:r w:rsidRPr="000E35A0">
              <w:t xml:space="preserve">200 </w:t>
            </w:r>
          </w:p>
        </w:tc>
        <w:tc>
          <w:tcPr>
            <w:tcW w:w="1666" w:type="dxa"/>
          </w:tcPr>
          <w:p w14:paraId="614C1FD7" w14:textId="77777777" w:rsidR="00DE4ACC" w:rsidRPr="00E97ED0" w:rsidRDefault="00DE4ACC" w:rsidP="00DE4ACC">
            <w:pPr>
              <w:spacing w:line="280" w:lineRule="exact"/>
              <w:jc w:val="right"/>
              <w:rPr>
                <w:rFonts w:ascii="微軟正黑體" w:eastAsia="微軟正黑體" w:hAnsi="微軟正黑體" w:cstheme="minorHAnsi"/>
                <w:szCs w:val="24"/>
              </w:rPr>
            </w:pPr>
            <w:r w:rsidRPr="000E35A0">
              <w:t xml:space="preserve">30 </w:t>
            </w:r>
          </w:p>
        </w:tc>
        <w:tc>
          <w:tcPr>
            <w:tcW w:w="1665" w:type="dxa"/>
          </w:tcPr>
          <w:p w14:paraId="406E6188" w14:textId="77777777" w:rsidR="00DE4ACC" w:rsidRPr="00E97ED0" w:rsidRDefault="00DE4ACC" w:rsidP="00DE4ACC">
            <w:pPr>
              <w:spacing w:line="280" w:lineRule="exact"/>
              <w:jc w:val="right"/>
              <w:rPr>
                <w:rFonts w:ascii="微軟正黑體" w:eastAsia="微軟正黑體" w:hAnsi="微軟正黑體" w:cstheme="minorHAnsi"/>
                <w:sz w:val="20"/>
                <w:szCs w:val="20"/>
              </w:rPr>
            </w:pPr>
            <w:r w:rsidRPr="000E35A0">
              <w:t>15.00%</w:t>
            </w:r>
          </w:p>
        </w:tc>
        <w:tc>
          <w:tcPr>
            <w:tcW w:w="1666" w:type="dxa"/>
            <w:shd w:val="clear" w:color="auto" w:fill="auto"/>
          </w:tcPr>
          <w:p w14:paraId="65A083DB" w14:textId="77777777" w:rsidR="00DE4ACC" w:rsidRPr="00E97ED0" w:rsidRDefault="00DE4ACC" w:rsidP="00DE4ACC">
            <w:pPr>
              <w:spacing w:line="280" w:lineRule="exact"/>
              <w:jc w:val="right"/>
              <w:rPr>
                <w:rFonts w:ascii="微軟正黑體" w:eastAsia="微軟正黑體" w:hAnsi="微軟正黑體" w:cstheme="minorHAnsi"/>
                <w:szCs w:val="24"/>
              </w:rPr>
            </w:pPr>
            <w:r w:rsidRPr="000E35A0">
              <w:t xml:space="preserve">170 </w:t>
            </w:r>
          </w:p>
        </w:tc>
        <w:tc>
          <w:tcPr>
            <w:tcW w:w="1276" w:type="dxa"/>
            <w:shd w:val="clear" w:color="auto" w:fill="auto"/>
          </w:tcPr>
          <w:p w14:paraId="59EF6683" w14:textId="77777777" w:rsidR="00DE4ACC" w:rsidRPr="00E97ED0" w:rsidRDefault="00DE4ACC" w:rsidP="00DE4ACC">
            <w:pPr>
              <w:spacing w:line="280" w:lineRule="exact"/>
              <w:jc w:val="center"/>
              <w:rPr>
                <w:rFonts w:eastAsia="微軟正黑體" w:cstheme="minorHAnsi"/>
                <w:szCs w:val="24"/>
              </w:rPr>
            </w:pPr>
          </w:p>
        </w:tc>
      </w:tr>
      <w:tr w:rsidR="00DE4ACC" w:rsidRPr="00E97ED0" w14:paraId="2BE84121" w14:textId="77777777" w:rsidTr="00DE4ACC">
        <w:tc>
          <w:tcPr>
            <w:tcW w:w="978" w:type="dxa"/>
          </w:tcPr>
          <w:p w14:paraId="3F625C42" w14:textId="77777777" w:rsidR="00DE4ACC" w:rsidRPr="00E97ED0" w:rsidRDefault="00DE4AC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114</w:t>
            </w:r>
          </w:p>
        </w:tc>
        <w:tc>
          <w:tcPr>
            <w:tcW w:w="1665" w:type="dxa"/>
          </w:tcPr>
          <w:p w14:paraId="3B7A3954" w14:textId="77777777" w:rsidR="00DE4ACC" w:rsidRPr="00E97ED0" w:rsidRDefault="00DE4ACC" w:rsidP="00DE4ACC">
            <w:pPr>
              <w:spacing w:line="280" w:lineRule="exact"/>
              <w:jc w:val="right"/>
              <w:rPr>
                <w:rFonts w:eastAsia="微軟正黑體" w:cstheme="minorHAnsi"/>
                <w:szCs w:val="24"/>
              </w:rPr>
            </w:pPr>
            <w:r w:rsidRPr="000E35A0">
              <w:t xml:space="preserve">200 </w:t>
            </w:r>
          </w:p>
        </w:tc>
        <w:tc>
          <w:tcPr>
            <w:tcW w:w="1666" w:type="dxa"/>
          </w:tcPr>
          <w:p w14:paraId="5AF60DD3" w14:textId="77777777" w:rsidR="00DE4ACC" w:rsidRPr="00CC6A7E" w:rsidRDefault="00DE4ACC" w:rsidP="00DE4ACC">
            <w:pPr>
              <w:spacing w:line="280" w:lineRule="exact"/>
              <w:jc w:val="right"/>
              <w:rPr>
                <w:rFonts w:eastAsia="微軟正黑體" w:cstheme="minorHAnsi"/>
                <w:szCs w:val="24"/>
              </w:rPr>
            </w:pPr>
            <w:r w:rsidRPr="000E35A0">
              <w:t xml:space="preserve">64 </w:t>
            </w:r>
          </w:p>
        </w:tc>
        <w:tc>
          <w:tcPr>
            <w:tcW w:w="1665" w:type="dxa"/>
          </w:tcPr>
          <w:p w14:paraId="2C7D4E57" w14:textId="77777777" w:rsidR="00DE4ACC" w:rsidRPr="00D34ED4" w:rsidRDefault="00DE4ACC" w:rsidP="00DE4ACC">
            <w:pPr>
              <w:spacing w:line="280" w:lineRule="exact"/>
              <w:jc w:val="right"/>
              <w:rPr>
                <w:rFonts w:ascii="微軟正黑體" w:eastAsia="微軟正黑體" w:hAnsi="微軟正黑體" w:cstheme="minorHAnsi"/>
                <w:b/>
                <w:sz w:val="22"/>
              </w:rPr>
            </w:pPr>
            <w:r w:rsidRPr="000E35A0">
              <w:t>32.20%</w:t>
            </w:r>
          </w:p>
        </w:tc>
        <w:tc>
          <w:tcPr>
            <w:tcW w:w="1666" w:type="dxa"/>
            <w:shd w:val="clear" w:color="auto" w:fill="auto"/>
          </w:tcPr>
          <w:p w14:paraId="5E332EA7" w14:textId="77777777" w:rsidR="00DE4ACC" w:rsidRPr="00E97ED0" w:rsidRDefault="00DE4ACC" w:rsidP="00DE4ACC">
            <w:pPr>
              <w:spacing w:line="280" w:lineRule="exact"/>
              <w:jc w:val="right"/>
              <w:rPr>
                <w:rFonts w:ascii="微軟正黑體" w:eastAsia="微軟正黑體" w:hAnsi="微軟正黑體" w:cstheme="minorHAnsi"/>
                <w:szCs w:val="24"/>
              </w:rPr>
            </w:pPr>
            <w:r w:rsidRPr="000E35A0">
              <w:t xml:space="preserve">136 </w:t>
            </w:r>
          </w:p>
        </w:tc>
        <w:tc>
          <w:tcPr>
            <w:tcW w:w="1276" w:type="dxa"/>
            <w:shd w:val="clear" w:color="auto" w:fill="auto"/>
          </w:tcPr>
          <w:p w14:paraId="6C91AEB5" w14:textId="77777777" w:rsidR="00DE4ACC" w:rsidRPr="009A32B8" w:rsidRDefault="00DE4ACC" w:rsidP="00DE4ACC">
            <w:pPr>
              <w:spacing w:line="280" w:lineRule="exact"/>
              <w:jc w:val="center"/>
              <w:rPr>
                <w:rFonts w:eastAsia="微軟正黑體" w:cstheme="minorHAnsi"/>
                <w:szCs w:val="24"/>
              </w:rPr>
            </w:pPr>
          </w:p>
        </w:tc>
      </w:tr>
      <w:tr w:rsidR="00DE4ACC" w:rsidRPr="00E97ED0" w14:paraId="3E2FD60C" w14:textId="77777777" w:rsidTr="00DE4ACC">
        <w:tc>
          <w:tcPr>
            <w:tcW w:w="978" w:type="dxa"/>
          </w:tcPr>
          <w:p w14:paraId="08174DB5" w14:textId="77777777" w:rsidR="00DE4ACC" w:rsidRPr="00E97ED0" w:rsidRDefault="00DE4ACC" w:rsidP="00DE4ACC">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1665" w:type="dxa"/>
          </w:tcPr>
          <w:p w14:paraId="010CCD82" w14:textId="77777777" w:rsidR="00DE4ACC" w:rsidRPr="00E97ED0" w:rsidRDefault="00DE4ACC" w:rsidP="00DE4ACC">
            <w:pPr>
              <w:spacing w:line="280" w:lineRule="exact"/>
              <w:jc w:val="center"/>
              <w:rPr>
                <w:rFonts w:eastAsia="微軟正黑體" w:cstheme="minorHAnsi"/>
                <w:szCs w:val="24"/>
              </w:rPr>
            </w:pPr>
            <w:r>
              <w:rPr>
                <w:rFonts w:eastAsia="微軟正黑體" w:cstheme="minorHAnsi" w:hint="eastAsia"/>
                <w:szCs w:val="24"/>
              </w:rPr>
              <w:t>200</w:t>
            </w:r>
          </w:p>
        </w:tc>
        <w:tc>
          <w:tcPr>
            <w:tcW w:w="1666" w:type="dxa"/>
          </w:tcPr>
          <w:p w14:paraId="6334A2E8" w14:textId="77777777" w:rsidR="00DE4ACC" w:rsidRPr="00E97ED0" w:rsidRDefault="00DE4ACC" w:rsidP="00DE4ACC">
            <w:pPr>
              <w:spacing w:line="280" w:lineRule="exact"/>
              <w:jc w:val="right"/>
              <w:rPr>
                <w:rFonts w:ascii="微軟正黑體" w:eastAsia="微軟正黑體" w:hAnsi="微軟正黑體" w:cstheme="minorHAnsi"/>
                <w:szCs w:val="24"/>
              </w:rPr>
            </w:pPr>
          </w:p>
        </w:tc>
        <w:tc>
          <w:tcPr>
            <w:tcW w:w="1665" w:type="dxa"/>
          </w:tcPr>
          <w:p w14:paraId="755A7E56" w14:textId="77777777" w:rsidR="00DE4ACC" w:rsidRPr="00E97ED0" w:rsidRDefault="00DE4ACC" w:rsidP="00DE4ACC">
            <w:pPr>
              <w:spacing w:line="280" w:lineRule="exact"/>
              <w:jc w:val="right"/>
              <w:rPr>
                <w:rFonts w:ascii="微軟正黑體" w:eastAsia="微軟正黑體" w:hAnsi="微軟正黑體" w:cstheme="minorHAnsi"/>
                <w:szCs w:val="24"/>
              </w:rPr>
            </w:pPr>
          </w:p>
        </w:tc>
        <w:tc>
          <w:tcPr>
            <w:tcW w:w="1666" w:type="dxa"/>
            <w:shd w:val="clear" w:color="auto" w:fill="auto"/>
          </w:tcPr>
          <w:p w14:paraId="2BADAFAA" w14:textId="77777777" w:rsidR="00DE4ACC" w:rsidRPr="00E97ED0" w:rsidRDefault="00DE4ACC" w:rsidP="00DE4ACC">
            <w:pPr>
              <w:spacing w:line="280" w:lineRule="exact"/>
              <w:jc w:val="right"/>
              <w:rPr>
                <w:rFonts w:ascii="微軟正黑體" w:eastAsia="微軟正黑體" w:hAnsi="微軟正黑體" w:cstheme="minorHAnsi"/>
                <w:szCs w:val="24"/>
              </w:rPr>
            </w:pPr>
          </w:p>
        </w:tc>
        <w:tc>
          <w:tcPr>
            <w:tcW w:w="1276" w:type="dxa"/>
            <w:shd w:val="clear" w:color="auto" w:fill="auto"/>
          </w:tcPr>
          <w:p w14:paraId="4138E181" w14:textId="77777777" w:rsidR="00DE4ACC" w:rsidRPr="007C5032" w:rsidRDefault="00DE4ACC" w:rsidP="00DE4ACC">
            <w:pPr>
              <w:spacing w:line="280" w:lineRule="exact"/>
              <w:jc w:val="right"/>
              <w:rPr>
                <w:rFonts w:ascii="微軟正黑體" w:eastAsia="微軟正黑體" w:hAnsi="微軟正黑體" w:cstheme="minorHAnsi"/>
                <w:sz w:val="16"/>
                <w:szCs w:val="16"/>
              </w:rPr>
            </w:pPr>
          </w:p>
        </w:tc>
      </w:tr>
    </w:tbl>
    <w:p w14:paraId="4C336F70" w14:textId="77777777" w:rsidR="00DE4ACC" w:rsidRPr="005B2C89" w:rsidRDefault="00DE4ACC" w:rsidP="005A2FA4">
      <w:pPr>
        <w:pStyle w:val="10"/>
      </w:pPr>
      <w:r w:rsidRPr="005B2C89">
        <w:rPr>
          <w:rFonts w:hint="eastAsia"/>
        </w:rPr>
        <w:t>經查</w:t>
      </w:r>
      <w:r>
        <w:rPr>
          <w:rFonts w:hint="eastAsia"/>
        </w:rPr>
        <w:t>國安會</w:t>
      </w:r>
      <w:r w:rsidRPr="005B2C89">
        <w:rPr>
          <w:rFonts w:hint="eastAsia"/>
        </w:rPr>
        <w:t>近三年決算書資料如上表，「</w:t>
      </w:r>
      <w:r>
        <w:rPr>
          <w:rFonts w:hint="eastAsia"/>
        </w:rPr>
        <w:t>教育訓練費</w:t>
      </w:r>
      <w:r w:rsidRPr="005B2C89">
        <w:rPr>
          <w:rFonts w:hint="eastAsia"/>
        </w:rPr>
        <w:t>」近三年平均執行率為</w:t>
      </w:r>
      <w:r>
        <w:rPr>
          <w:rFonts w:hint="eastAsia"/>
        </w:rPr>
        <w:t>2</w:t>
      </w:r>
      <w:r>
        <w:t>9</w:t>
      </w:r>
      <w:r w:rsidRPr="005B2C89">
        <w:rPr>
          <w:rFonts w:hint="eastAsia"/>
        </w:rPr>
        <w:t>.</w:t>
      </w:r>
      <w:r>
        <w:t>73</w:t>
      </w:r>
      <w:r>
        <w:rPr>
          <w:rFonts w:hint="eastAsia"/>
        </w:rPr>
        <w:t>％</w:t>
      </w:r>
      <w:r w:rsidRPr="005B2C89">
        <w:rPr>
          <w:rFonts w:hint="eastAsia"/>
        </w:rPr>
        <w:t>。剩餘數從</w:t>
      </w:r>
      <w:r>
        <w:rPr>
          <w:rFonts w:hint="eastAsia"/>
        </w:rPr>
        <w:t>116</w:t>
      </w:r>
      <w:r w:rsidRPr="005B2C89">
        <w:rPr>
          <w:rFonts w:hint="eastAsia"/>
        </w:rPr>
        <w:t>千元到</w:t>
      </w:r>
      <w:r>
        <w:rPr>
          <w:rFonts w:hint="eastAsia"/>
        </w:rPr>
        <w:t>170</w:t>
      </w:r>
      <w:r w:rsidRPr="005B2C89">
        <w:rPr>
          <w:rFonts w:hint="eastAsia"/>
        </w:rPr>
        <w:t>千元之間，顯見，原有經費編列與實際需求之間存有相當落差，致使經費運用效益低落。</w:t>
      </w:r>
    </w:p>
    <w:p w14:paraId="6C46F6CC" w14:textId="77777777" w:rsidR="00DE4ACC" w:rsidRPr="005B2C89" w:rsidRDefault="00DE4ACC" w:rsidP="005A2FA4">
      <w:pPr>
        <w:pStyle w:val="10"/>
      </w:pPr>
      <w:r w:rsidRPr="005B2C89">
        <w:rPr>
          <w:rFonts w:hint="eastAsia"/>
        </w:rPr>
        <w:t>然，115年中央政府總預算連同特別預算，已需舉債高達4千億元。政府各單位更應量入為出、撙節公帑，減列非必要、非急迫性的支出，以降低國庫舉債、債留子孫的壓力。</w:t>
      </w:r>
    </w:p>
    <w:p w14:paraId="7976EB83" w14:textId="77777777" w:rsidR="00DE4ACC" w:rsidRPr="005B2C89" w:rsidRDefault="00DE4ACC" w:rsidP="005A2FA4">
      <w:pPr>
        <w:pStyle w:val="10"/>
      </w:pPr>
      <w:r w:rsidRPr="005B2C89">
        <w:rPr>
          <w:rFonts w:hint="eastAsia"/>
        </w:rPr>
        <w:t>且，賴總統為回應美國對台灣應大幅增加國防支出的強硬</w:t>
      </w:r>
      <w:r w:rsidRPr="005B2C89">
        <w:rPr>
          <w:rFonts w:hint="eastAsia"/>
        </w:rPr>
        <w:lastRenderedPageBreak/>
        <w:t>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7351EBEF" w14:textId="1C949E3E" w:rsidR="005A2FA4" w:rsidRPr="00890645" w:rsidRDefault="00DE4ACC" w:rsidP="005A2FA4">
      <w:pPr>
        <w:pStyle w:val="10"/>
      </w:pPr>
      <w:r w:rsidRPr="005B2C89">
        <w:rPr>
          <w:rFonts w:hint="eastAsia"/>
        </w:rPr>
        <w:t>惟</w:t>
      </w:r>
      <w:r>
        <w:rPr>
          <w:rFonts w:hint="eastAsia"/>
        </w:rPr>
        <w:t>國安會</w:t>
      </w:r>
      <w:r w:rsidRPr="005B2C89">
        <w:rPr>
          <w:rFonts w:hint="eastAsia"/>
        </w:rPr>
        <w:t>115年度預算案仍編列「</w:t>
      </w:r>
      <w:r>
        <w:rPr>
          <w:rFonts w:hint="eastAsia"/>
        </w:rPr>
        <w:t>教育訓練費</w:t>
      </w:r>
      <w:r w:rsidRPr="005B2C89">
        <w:rPr>
          <w:rFonts w:hint="eastAsia"/>
        </w:rPr>
        <w:t>」</w:t>
      </w:r>
      <w:r>
        <w:rPr>
          <w:rFonts w:hint="eastAsia"/>
        </w:rPr>
        <w:t>200</w:t>
      </w:r>
      <w:r w:rsidRPr="005B2C89">
        <w:rPr>
          <w:rFonts w:hint="eastAsia"/>
        </w:rPr>
        <w:t>千元，與114年法定預算相</w:t>
      </w:r>
      <w:r>
        <w:rPr>
          <w:rFonts w:hint="eastAsia"/>
        </w:rPr>
        <w:t>同</w:t>
      </w:r>
      <w:r w:rsidRPr="008C300A">
        <w:rPr>
          <w:rFonts w:hint="eastAsia"/>
        </w:rPr>
        <w:t>。</w:t>
      </w:r>
      <w:r w:rsidRPr="005B2C89">
        <w:rPr>
          <w:rFonts w:hint="eastAsia"/>
        </w:rPr>
        <w:t>為兌現賴總統對美方的承諾，且為配合國防支出大幅增加之影響而必須撙節經費，</w:t>
      </w:r>
      <w:r w:rsidRPr="008C300A">
        <w:rPr>
          <w:rFonts w:hint="eastAsia"/>
          <w:b/>
          <w:u w:val="thick"/>
        </w:rPr>
        <w:t>爰提案減列</w:t>
      </w:r>
      <w:r>
        <w:rPr>
          <w:rFonts w:hint="eastAsia"/>
          <w:b/>
          <w:u w:val="thick"/>
        </w:rPr>
        <w:t>12</w:t>
      </w:r>
      <w:r w:rsidRPr="008C300A">
        <w:rPr>
          <w:rFonts w:hint="eastAsia"/>
          <w:b/>
          <w:u w:val="thick"/>
        </w:rPr>
        <w:t>萬元整（以</w:t>
      </w:r>
      <w:r>
        <w:rPr>
          <w:rFonts w:hint="eastAsia"/>
          <w:b/>
          <w:u w:val="thick"/>
        </w:rPr>
        <w:t>執行率4成</w:t>
      </w:r>
      <w:r w:rsidRPr="008C300A">
        <w:rPr>
          <w:rFonts w:hint="eastAsia"/>
          <w:b/>
          <w:u w:val="thick"/>
        </w:rPr>
        <w:t>計算）且不得流用勻支</w:t>
      </w:r>
      <w:r w:rsidRPr="005B2C89">
        <w:rPr>
          <w:rFonts w:hint="eastAsia"/>
        </w:rPr>
        <w:t>，以避免有限之財政資源閒置與浪費。</w:t>
      </w:r>
      <w:r w:rsidR="005A2FA4" w:rsidRPr="00890645">
        <w:t>【</w:t>
      </w:r>
      <w:r w:rsidR="005A2FA4">
        <w:rPr>
          <w:rFonts w:hint="eastAsia"/>
        </w:rPr>
        <w:t>31</w:t>
      </w:r>
      <w:r w:rsidR="005A2FA4" w:rsidRPr="00890645">
        <w:t>】</w:t>
      </w:r>
    </w:p>
    <w:p w14:paraId="28D5180D" w14:textId="77777777" w:rsidR="005A2FA4" w:rsidRPr="00890645" w:rsidRDefault="005A2FA4" w:rsidP="005A2FA4">
      <w:pPr>
        <w:pStyle w:val="21"/>
      </w:pPr>
      <w:r w:rsidRPr="00890645">
        <w:t>提案人：翁曉玲</w:t>
      </w:r>
    </w:p>
    <w:p w14:paraId="7DF99A3F" w14:textId="120877AD" w:rsidR="00890645" w:rsidRDefault="005A2FA4" w:rsidP="005A2FA4">
      <w:pPr>
        <w:pStyle w:val="21"/>
      </w:pPr>
      <w:r w:rsidRPr="00890645">
        <w:t>連署人：許宇甄　林倩綺</w:t>
      </w:r>
    </w:p>
    <w:p w14:paraId="02A751B2" w14:textId="77777777" w:rsidR="005A2FA4" w:rsidRPr="00E97ED0" w:rsidRDefault="005A2FA4" w:rsidP="005A2FA4">
      <w:pPr>
        <w:pStyle w:val="1"/>
      </w:pPr>
      <w:r w:rsidRPr="00E97ED0">
        <w:rPr>
          <w:rFonts w:hint="eastAsia"/>
        </w:rPr>
        <w:t>國家安全會議(以下簡稱國安會)115年度預算案</w:t>
      </w:r>
      <w:r w:rsidRPr="00E97ED0">
        <w:t>編列246,631千元，比114年度法定預算223,589千元，增加23,042千元（</w:t>
      </w:r>
      <w:r w:rsidRPr="00E97ED0">
        <w:rPr>
          <w:rFonts w:hint="eastAsia"/>
        </w:rPr>
        <w:t>逾2千3百萬元</w:t>
      </w:r>
      <w:r w:rsidRPr="00E97ED0">
        <w:t>），成長幅度</w:t>
      </w:r>
      <w:r w:rsidRPr="00E97ED0">
        <w:rPr>
          <w:rFonts w:hint="eastAsia"/>
        </w:rPr>
        <w:t>1</w:t>
      </w:r>
      <w:r w:rsidRPr="00E97ED0">
        <w:t>0.31%。</w:t>
      </w:r>
    </w:p>
    <w:p w14:paraId="67F5D9CD" w14:textId="77777777" w:rsidR="005A2FA4" w:rsidRDefault="005A2FA4" w:rsidP="005A2FA4">
      <w:pPr>
        <w:pStyle w:val="10"/>
      </w:pPr>
      <w:r w:rsidRPr="00E97ED0">
        <w:rPr>
          <w:rFonts w:hint="eastAsia"/>
        </w:rPr>
        <w:t>國安會115年「</w:t>
      </w:r>
      <w:r>
        <w:rPr>
          <w:rFonts w:hint="eastAsia"/>
        </w:rPr>
        <w:t>權利使用費</w:t>
      </w:r>
      <w:r w:rsidRPr="00E97ED0">
        <w:rPr>
          <w:rFonts w:hint="eastAsia"/>
        </w:rPr>
        <w:t>」編列預算</w:t>
      </w:r>
      <w:r>
        <w:t>5</w:t>
      </w:r>
      <w:r w:rsidRPr="00DD7A70">
        <w:t>30</w:t>
      </w:r>
      <w:r w:rsidRPr="00DD7A70">
        <w:rPr>
          <w:rFonts w:hint="eastAsia"/>
        </w:rPr>
        <w:t>千</w:t>
      </w:r>
      <w:r w:rsidRPr="00E97ED0">
        <w:rPr>
          <w:rFonts w:hint="eastAsia"/>
        </w:rPr>
        <w:t>元，</w:t>
      </w:r>
      <w:r>
        <w:rPr>
          <w:rFonts w:hint="eastAsia"/>
        </w:rPr>
        <w:t>與</w:t>
      </w:r>
      <w:r w:rsidRPr="00E97ED0">
        <w:rPr>
          <w:rFonts w:hint="eastAsia"/>
        </w:rPr>
        <w:t>114年度預算數</w:t>
      </w:r>
      <w:r>
        <w:t>5</w:t>
      </w:r>
      <w:r w:rsidRPr="00DD7A70">
        <w:t>3</w:t>
      </w:r>
      <w:r>
        <w:t>0</w:t>
      </w:r>
      <w:r w:rsidRPr="00E97ED0">
        <w:rPr>
          <w:rFonts w:hint="eastAsia"/>
        </w:rPr>
        <w:t>千元</w:t>
      </w:r>
      <w:r>
        <w:rPr>
          <w:rFonts w:hint="eastAsia"/>
        </w:rPr>
        <w:t>相同。</w:t>
      </w:r>
    </w:p>
    <w:tbl>
      <w:tblPr>
        <w:tblpPr w:leftFromText="180" w:rightFromText="180" w:vertAnchor="text" w:horzAnchor="margin" w:tblpY="194"/>
        <w:tblW w:w="90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9"/>
        <w:gridCol w:w="1665"/>
        <w:gridCol w:w="1666"/>
        <w:gridCol w:w="1666"/>
        <w:gridCol w:w="1666"/>
        <w:gridCol w:w="1275"/>
      </w:tblGrid>
      <w:tr w:rsidR="005A2FA4" w:rsidRPr="00E97ED0" w14:paraId="7C9E30A9" w14:textId="77777777" w:rsidTr="005A2FA4">
        <w:trPr>
          <w:tblHeader/>
        </w:trPr>
        <w:tc>
          <w:tcPr>
            <w:tcW w:w="9057" w:type="dxa"/>
            <w:gridSpan w:val="6"/>
          </w:tcPr>
          <w:p w14:paraId="5DB179E5" w14:textId="77777777" w:rsidR="005A2FA4" w:rsidRPr="00E97ED0" w:rsidRDefault="005A2FA4" w:rsidP="00FD33FE">
            <w:pPr>
              <w:spacing w:line="280" w:lineRule="exact"/>
              <w:jc w:val="center"/>
              <w:rPr>
                <w:rFonts w:ascii="微軟正黑體" w:eastAsia="微軟正黑體" w:hAnsi="微軟正黑體" w:cstheme="minorHAnsi"/>
                <w:b/>
                <w:bCs/>
                <w:szCs w:val="24"/>
              </w:rPr>
            </w:pPr>
            <w:r>
              <w:rPr>
                <w:rFonts w:ascii="微軟正黑體" w:eastAsia="微軟正黑體" w:hAnsi="微軟正黑體" w:cstheme="minorHAnsi" w:hint="eastAsia"/>
                <w:b/>
                <w:bCs/>
                <w:szCs w:val="24"/>
              </w:rPr>
              <w:t>權利使用費</w:t>
            </w:r>
          </w:p>
        </w:tc>
      </w:tr>
      <w:tr w:rsidR="005A2FA4" w:rsidRPr="00E97ED0" w14:paraId="30A9B06C" w14:textId="77777777" w:rsidTr="005A2FA4">
        <w:trPr>
          <w:tblHeader/>
        </w:trPr>
        <w:tc>
          <w:tcPr>
            <w:tcW w:w="1119" w:type="dxa"/>
          </w:tcPr>
          <w:p w14:paraId="5BBDC7DE"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sidRPr="00E97ED0">
              <w:rPr>
                <w:rFonts w:ascii="微軟正黑體" w:eastAsia="微軟正黑體" w:hAnsi="微軟正黑體" w:cstheme="minorHAnsi" w:hint="eastAsia"/>
                <w:b/>
                <w:sz w:val="20"/>
                <w:szCs w:val="20"/>
              </w:rPr>
              <w:t>年度</w:t>
            </w:r>
          </w:p>
        </w:tc>
        <w:tc>
          <w:tcPr>
            <w:tcW w:w="1665" w:type="dxa"/>
          </w:tcPr>
          <w:p w14:paraId="1AA96EE3"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sidRPr="003352EA">
              <w:rPr>
                <w:rFonts w:hint="eastAsia"/>
              </w:rPr>
              <w:t>預算</w:t>
            </w:r>
            <w:r>
              <w:rPr>
                <w:rFonts w:hint="eastAsia"/>
              </w:rPr>
              <w:t>數</w:t>
            </w:r>
            <w:r>
              <w:rPr>
                <w:rFonts w:hint="eastAsia"/>
              </w:rPr>
              <w:t>/</w:t>
            </w:r>
            <w:r>
              <w:rPr>
                <w:rFonts w:hint="eastAsia"/>
              </w:rPr>
              <w:t>千元</w:t>
            </w:r>
          </w:p>
        </w:tc>
        <w:tc>
          <w:tcPr>
            <w:tcW w:w="1666" w:type="dxa"/>
          </w:tcPr>
          <w:p w14:paraId="710FA8C5"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sidRPr="003352EA">
              <w:rPr>
                <w:rFonts w:hint="eastAsia"/>
              </w:rPr>
              <w:t>決算</w:t>
            </w:r>
            <w:r>
              <w:rPr>
                <w:rFonts w:hint="eastAsia"/>
              </w:rPr>
              <w:t>數</w:t>
            </w:r>
            <w:r w:rsidRPr="003352EA">
              <w:rPr>
                <w:rFonts w:hint="eastAsia"/>
              </w:rPr>
              <w:t>/</w:t>
            </w:r>
            <w:r w:rsidRPr="003352EA">
              <w:rPr>
                <w:rFonts w:hint="eastAsia"/>
              </w:rPr>
              <w:t>千元</w:t>
            </w:r>
          </w:p>
        </w:tc>
        <w:tc>
          <w:tcPr>
            <w:tcW w:w="1666" w:type="dxa"/>
          </w:tcPr>
          <w:p w14:paraId="00CA7126"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sidRPr="003352EA">
              <w:rPr>
                <w:rFonts w:hint="eastAsia"/>
              </w:rPr>
              <w:t>執行率</w:t>
            </w:r>
          </w:p>
        </w:tc>
        <w:tc>
          <w:tcPr>
            <w:tcW w:w="1666" w:type="dxa"/>
            <w:shd w:val="clear" w:color="auto" w:fill="auto"/>
            <w:vAlign w:val="center"/>
          </w:tcPr>
          <w:p w14:paraId="716381B7"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剩餘數/千元</w:t>
            </w:r>
          </w:p>
        </w:tc>
        <w:tc>
          <w:tcPr>
            <w:tcW w:w="1275" w:type="dxa"/>
            <w:shd w:val="clear" w:color="auto" w:fill="auto"/>
            <w:vAlign w:val="center"/>
          </w:tcPr>
          <w:p w14:paraId="11742B31" w14:textId="77777777" w:rsidR="005A2FA4" w:rsidRPr="00E97ED0" w:rsidRDefault="005A2FA4"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備註</w:t>
            </w:r>
          </w:p>
        </w:tc>
      </w:tr>
      <w:tr w:rsidR="005A2FA4" w:rsidRPr="00E97ED0" w14:paraId="478D494B" w14:textId="77777777" w:rsidTr="005A2FA4">
        <w:tc>
          <w:tcPr>
            <w:tcW w:w="1119" w:type="dxa"/>
          </w:tcPr>
          <w:p w14:paraId="78E1ECDB" w14:textId="77777777" w:rsidR="005A2FA4" w:rsidRPr="00E97ED0" w:rsidRDefault="005A2FA4"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1665" w:type="dxa"/>
          </w:tcPr>
          <w:p w14:paraId="0E4894A8" w14:textId="77777777" w:rsidR="005A2FA4" w:rsidRPr="00E97ED0" w:rsidRDefault="005A2FA4" w:rsidP="00FD33FE">
            <w:pPr>
              <w:spacing w:line="280" w:lineRule="exact"/>
              <w:jc w:val="right"/>
              <w:rPr>
                <w:rFonts w:eastAsia="微軟正黑體" w:cstheme="minorHAnsi"/>
                <w:szCs w:val="24"/>
              </w:rPr>
            </w:pPr>
            <w:r w:rsidRPr="00D520F9">
              <w:t xml:space="preserve">530 </w:t>
            </w:r>
          </w:p>
        </w:tc>
        <w:tc>
          <w:tcPr>
            <w:tcW w:w="1666" w:type="dxa"/>
          </w:tcPr>
          <w:p w14:paraId="117BB7B1" w14:textId="77777777" w:rsidR="005A2FA4" w:rsidRPr="00D34ED4" w:rsidRDefault="005A2FA4" w:rsidP="00FD33FE">
            <w:pPr>
              <w:spacing w:line="280" w:lineRule="exact"/>
              <w:jc w:val="right"/>
              <w:rPr>
                <w:rFonts w:ascii="微軟正黑體" w:eastAsia="微軟正黑體" w:hAnsi="微軟正黑體" w:cstheme="minorHAnsi"/>
                <w:b/>
                <w:szCs w:val="24"/>
              </w:rPr>
            </w:pPr>
            <w:r w:rsidRPr="00D520F9">
              <w:t xml:space="preserve">425 </w:t>
            </w:r>
          </w:p>
        </w:tc>
        <w:tc>
          <w:tcPr>
            <w:tcW w:w="1666" w:type="dxa"/>
          </w:tcPr>
          <w:p w14:paraId="5242BFCA" w14:textId="77777777" w:rsidR="005A2FA4" w:rsidRPr="005D00F1" w:rsidRDefault="005A2FA4" w:rsidP="00FD33FE">
            <w:pPr>
              <w:spacing w:line="280" w:lineRule="exact"/>
              <w:jc w:val="right"/>
              <w:rPr>
                <w:rFonts w:ascii="微軟正黑體" w:eastAsia="微軟正黑體" w:hAnsi="微軟正黑體" w:cstheme="minorHAnsi"/>
                <w:b/>
                <w:sz w:val="20"/>
                <w:szCs w:val="20"/>
              </w:rPr>
            </w:pPr>
            <w:r w:rsidRPr="00D520F9">
              <w:t>80.17%</w:t>
            </w:r>
          </w:p>
        </w:tc>
        <w:tc>
          <w:tcPr>
            <w:tcW w:w="1666" w:type="dxa"/>
            <w:shd w:val="clear" w:color="auto" w:fill="auto"/>
          </w:tcPr>
          <w:p w14:paraId="65C494F4" w14:textId="77777777" w:rsidR="005A2FA4" w:rsidRPr="00E97ED0" w:rsidRDefault="005A2FA4" w:rsidP="00FD33FE">
            <w:pPr>
              <w:spacing w:line="280" w:lineRule="exact"/>
              <w:jc w:val="right"/>
              <w:rPr>
                <w:rFonts w:ascii="微軟正黑體" w:eastAsia="微軟正黑體" w:hAnsi="微軟正黑體" w:cstheme="minorHAnsi"/>
                <w:szCs w:val="24"/>
              </w:rPr>
            </w:pPr>
            <w:r w:rsidRPr="00D520F9">
              <w:t xml:space="preserve">105 </w:t>
            </w:r>
          </w:p>
        </w:tc>
        <w:tc>
          <w:tcPr>
            <w:tcW w:w="1275" w:type="dxa"/>
            <w:shd w:val="clear" w:color="auto" w:fill="auto"/>
          </w:tcPr>
          <w:p w14:paraId="4193360C" w14:textId="77777777" w:rsidR="005A2FA4" w:rsidRPr="00E97ED0" w:rsidRDefault="005A2FA4" w:rsidP="00FD33FE">
            <w:pPr>
              <w:spacing w:line="280" w:lineRule="exact"/>
              <w:jc w:val="center"/>
              <w:rPr>
                <w:rFonts w:eastAsia="微軟正黑體" w:cstheme="minorHAnsi"/>
                <w:szCs w:val="24"/>
              </w:rPr>
            </w:pPr>
          </w:p>
        </w:tc>
      </w:tr>
      <w:tr w:rsidR="005A2FA4" w:rsidRPr="00E97ED0" w14:paraId="053C715D" w14:textId="77777777" w:rsidTr="005A2FA4">
        <w:tc>
          <w:tcPr>
            <w:tcW w:w="1119" w:type="dxa"/>
          </w:tcPr>
          <w:p w14:paraId="1241A168" w14:textId="77777777" w:rsidR="005A2FA4" w:rsidRPr="00E97ED0" w:rsidRDefault="005A2FA4"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1665" w:type="dxa"/>
          </w:tcPr>
          <w:p w14:paraId="7AD9E07B" w14:textId="77777777" w:rsidR="005A2FA4" w:rsidRPr="00E97ED0" w:rsidRDefault="005A2FA4" w:rsidP="00FD33FE">
            <w:pPr>
              <w:spacing w:line="280" w:lineRule="exact"/>
              <w:jc w:val="right"/>
              <w:rPr>
                <w:rFonts w:eastAsia="微軟正黑體" w:cstheme="minorHAnsi"/>
                <w:szCs w:val="24"/>
              </w:rPr>
            </w:pPr>
            <w:r w:rsidRPr="00D520F9">
              <w:t xml:space="preserve">530 </w:t>
            </w:r>
          </w:p>
        </w:tc>
        <w:tc>
          <w:tcPr>
            <w:tcW w:w="1666" w:type="dxa"/>
          </w:tcPr>
          <w:p w14:paraId="1385B663" w14:textId="77777777" w:rsidR="005A2FA4" w:rsidRPr="00E97ED0" w:rsidRDefault="005A2FA4" w:rsidP="00FD33FE">
            <w:pPr>
              <w:spacing w:line="280" w:lineRule="exact"/>
              <w:jc w:val="right"/>
              <w:rPr>
                <w:rFonts w:ascii="微軟正黑體" w:eastAsia="微軟正黑體" w:hAnsi="微軟正黑體" w:cstheme="minorHAnsi"/>
                <w:szCs w:val="24"/>
              </w:rPr>
            </w:pPr>
            <w:r w:rsidRPr="00D520F9">
              <w:t xml:space="preserve">526 </w:t>
            </w:r>
          </w:p>
        </w:tc>
        <w:tc>
          <w:tcPr>
            <w:tcW w:w="1666" w:type="dxa"/>
          </w:tcPr>
          <w:p w14:paraId="0BB2B66E" w14:textId="77777777" w:rsidR="005A2FA4" w:rsidRPr="00E97ED0" w:rsidRDefault="005A2FA4" w:rsidP="00FD33FE">
            <w:pPr>
              <w:spacing w:line="280" w:lineRule="exact"/>
              <w:jc w:val="right"/>
              <w:rPr>
                <w:rFonts w:ascii="微軟正黑體" w:eastAsia="微軟正黑體" w:hAnsi="微軟正黑體" w:cstheme="minorHAnsi"/>
                <w:sz w:val="20"/>
                <w:szCs w:val="20"/>
              </w:rPr>
            </w:pPr>
            <w:r w:rsidRPr="00D520F9">
              <w:t>99.28%</w:t>
            </w:r>
          </w:p>
        </w:tc>
        <w:tc>
          <w:tcPr>
            <w:tcW w:w="1666" w:type="dxa"/>
            <w:shd w:val="clear" w:color="auto" w:fill="auto"/>
          </w:tcPr>
          <w:p w14:paraId="620D51DB" w14:textId="77777777" w:rsidR="005A2FA4" w:rsidRPr="00E97ED0" w:rsidRDefault="005A2FA4" w:rsidP="00FD33FE">
            <w:pPr>
              <w:spacing w:line="280" w:lineRule="exact"/>
              <w:jc w:val="right"/>
              <w:rPr>
                <w:rFonts w:ascii="微軟正黑體" w:eastAsia="微軟正黑體" w:hAnsi="微軟正黑體" w:cstheme="minorHAnsi"/>
                <w:szCs w:val="24"/>
              </w:rPr>
            </w:pPr>
            <w:r w:rsidRPr="00D520F9">
              <w:t xml:space="preserve">4 </w:t>
            </w:r>
          </w:p>
        </w:tc>
        <w:tc>
          <w:tcPr>
            <w:tcW w:w="1275" w:type="dxa"/>
            <w:shd w:val="clear" w:color="auto" w:fill="auto"/>
          </w:tcPr>
          <w:p w14:paraId="340A2BBB" w14:textId="77777777" w:rsidR="005A2FA4" w:rsidRPr="00E97ED0" w:rsidRDefault="005A2FA4" w:rsidP="00FD33FE">
            <w:pPr>
              <w:spacing w:line="280" w:lineRule="exact"/>
              <w:jc w:val="center"/>
              <w:rPr>
                <w:rFonts w:eastAsia="微軟正黑體" w:cstheme="minorHAnsi"/>
                <w:szCs w:val="24"/>
              </w:rPr>
            </w:pPr>
          </w:p>
        </w:tc>
      </w:tr>
      <w:tr w:rsidR="005A2FA4" w:rsidRPr="00E97ED0" w14:paraId="209DC35B" w14:textId="77777777" w:rsidTr="005A2FA4">
        <w:tc>
          <w:tcPr>
            <w:tcW w:w="1119" w:type="dxa"/>
          </w:tcPr>
          <w:p w14:paraId="7AD5BABF" w14:textId="77777777" w:rsidR="005A2FA4" w:rsidRPr="00E97ED0" w:rsidRDefault="005A2FA4"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114</w:t>
            </w:r>
          </w:p>
        </w:tc>
        <w:tc>
          <w:tcPr>
            <w:tcW w:w="1665" w:type="dxa"/>
          </w:tcPr>
          <w:p w14:paraId="746A39E7" w14:textId="77777777" w:rsidR="005A2FA4" w:rsidRPr="00E97ED0" w:rsidRDefault="005A2FA4" w:rsidP="00FD33FE">
            <w:pPr>
              <w:spacing w:line="280" w:lineRule="exact"/>
              <w:jc w:val="right"/>
              <w:rPr>
                <w:rFonts w:eastAsia="微軟正黑體" w:cstheme="minorHAnsi"/>
                <w:szCs w:val="24"/>
              </w:rPr>
            </w:pPr>
            <w:r w:rsidRPr="00D520F9">
              <w:t xml:space="preserve">530 </w:t>
            </w:r>
          </w:p>
        </w:tc>
        <w:tc>
          <w:tcPr>
            <w:tcW w:w="1666" w:type="dxa"/>
          </w:tcPr>
          <w:p w14:paraId="2A3C5153" w14:textId="77777777" w:rsidR="005A2FA4" w:rsidRPr="00CC6A7E" w:rsidRDefault="005A2FA4" w:rsidP="00FD33FE">
            <w:pPr>
              <w:spacing w:line="280" w:lineRule="exact"/>
              <w:jc w:val="right"/>
              <w:rPr>
                <w:rFonts w:eastAsia="微軟正黑體" w:cstheme="minorHAnsi"/>
                <w:szCs w:val="24"/>
              </w:rPr>
            </w:pPr>
            <w:r w:rsidRPr="00D520F9">
              <w:t xml:space="preserve">353 </w:t>
            </w:r>
          </w:p>
        </w:tc>
        <w:tc>
          <w:tcPr>
            <w:tcW w:w="1666" w:type="dxa"/>
          </w:tcPr>
          <w:p w14:paraId="6708A11C" w14:textId="77777777" w:rsidR="005A2FA4" w:rsidRPr="00D34ED4" w:rsidRDefault="005A2FA4" w:rsidP="00FD33FE">
            <w:pPr>
              <w:spacing w:line="280" w:lineRule="exact"/>
              <w:jc w:val="right"/>
              <w:rPr>
                <w:rFonts w:ascii="微軟正黑體" w:eastAsia="微軟正黑體" w:hAnsi="微軟正黑體" w:cstheme="minorHAnsi"/>
                <w:b/>
                <w:sz w:val="22"/>
              </w:rPr>
            </w:pPr>
            <w:r w:rsidRPr="00D520F9">
              <w:t>66.60%</w:t>
            </w:r>
          </w:p>
        </w:tc>
        <w:tc>
          <w:tcPr>
            <w:tcW w:w="1666" w:type="dxa"/>
            <w:shd w:val="clear" w:color="auto" w:fill="auto"/>
          </w:tcPr>
          <w:p w14:paraId="5119A5B5" w14:textId="77777777" w:rsidR="005A2FA4" w:rsidRPr="00E97ED0" w:rsidRDefault="005A2FA4" w:rsidP="00FD33FE">
            <w:pPr>
              <w:spacing w:line="280" w:lineRule="exact"/>
              <w:jc w:val="right"/>
              <w:rPr>
                <w:rFonts w:ascii="微軟正黑體" w:eastAsia="微軟正黑體" w:hAnsi="微軟正黑體" w:cstheme="minorHAnsi"/>
                <w:szCs w:val="24"/>
              </w:rPr>
            </w:pPr>
            <w:r w:rsidRPr="00D520F9">
              <w:t xml:space="preserve">177 </w:t>
            </w:r>
          </w:p>
        </w:tc>
        <w:tc>
          <w:tcPr>
            <w:tcW w:w="1275" w:type="dxa"/>
            <w:shd w:val="clear" w:color="auto" w:fill="auto"/>
          </w:tcPr>
          <w:p w14:paraId="5FF6F83A" w14:textId="77777777" w:rsidR="005A2FA4" w:rsidRPr="009A32B8" w:rsidRDefault="005A2FA4" w:rsidP="00FD33FE">
            <w:pPr>
              <w:spacing w:line="280" w:lineRule="exact"/>
              <w:jc w:val="center"/>
              <w:rPr>
                <w:rFonts w:eastAsia="微軟正黑體" w:cstheme="minorHAnsi"/>
                <w:szCs w:val="24"/>
              </w:rPr>
            </w:pPr>
          </w:p>
        </w:tc>
      </w:tr>
      <w:tr w:rsidR="005A2FA4" w:rsidRPr="00E97ED0" w14:paraId="6A743D6C" w14:textId="77777777" w:rsidTr="005A2FA4">
        <w:tc>
          <w:tcPr>
            <w:tcW w:w="1119" w:type="dxa"/>
          </w:tcPr>
          <w:p w14:paraId="5F5C3E51" w14:textId="77777777" w:rsidR="005A2FA4" w:rsidRPr="00E97ED0" w:rsidRDefault="005A2FA4"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1665" w:type="dxa"/>
          </w:tcPr>
          <w:p w14:paraId="70CF9578" w14:textId="77777777" w:rsidR="005A2FA4" w:rsidRPr="00E97ED0" w:rsidRDefault="005A2FA4" w:rsidP="00FD33FE">
            <w:pPr>
              <w:spacing w:line="280" w:lineRule="exact"/>
              <w:jc w:val="center"/>
              <w:rPr>
                <w:rFonts w:eastAsia="微軟正黑體" w:cstheme="minorHAnsi"/>
                <w:szCs w:val="24"/>
              </w:rPr>
            </w:pPr>
            <w:r w:rsidRPr="00D520F9">
              <w:t>530</w:t>
            </w:r>
          </w:p>
        </w:tc>
        <w:tc>
          <w:tcPr>
            <w:tcW w:w="1666" w:type="dxa"/>
          </w:tcPr>
          <w:p w14:paraId="66A619F2" w14:textId="77777777" w:rsidR="005A2FA4" w:rsidRPr="00E97ED0" w:rsidRDefault="005A2FA4" w:rsidP="00FD33FE">
            <w:pPr>
              <w:spacing w:line="280" w:lineRule="exact"/>
              <w:jc w:val="right"/>
              <w:rPr>
                <w:rFonts w:ascii="微軟正黑體" w:eastAsia="微軟正黑體" w:hAnsi="微軟正黑體" w:cstheme="minorHAnsi"/>
                <w:szCs w:val="24"/>
              </w:rPr>
            </w:pPr>
          </w:p>
        </w:tc>
        <w:tc>
          <w:tcPr>
            <w:tcW w:w="1666" w:type="dxa"/>
          </w:tcPr>
          <w:p w14:paraId="0D3E54C6" w14:textId="77777777" w:rsidR="005A2FA4" w:rsidRPr="00E97ED0" w:rsidRDefault="005A2FA4" w:rsidP="00FD33FE">
            <w:pPr>
              <w:spacing w:line="280" w:lineRule="exact"/>
              <w:jc w:val="right"/>
              <w:rPr>
                <w:rFonts w:ascii="微軟正黑體" w:eastAsia="微軟正黑體" w:hAnsi="微軟正黑體" w:cstheme="minorHAnsi"/>
                <w:szCs w:val="24"/>
              </w:rPr>
            </w:pPr>
          </w:p>
        </w:tc>
        <w:tc>
          <w:tcPr>
            <w:tcW w:w="1666" w:type="dxa"/>
            <w:shd w:val="clear" w:color="auto" w:fill="auto"/>
          </w:tcPr>
          <w:p w14:paraId="2B46ED13" w14:textId="77777777" w:rsidR="005A2FA4" w:rsidRPr="00E97ED0" w:rsidRDefault="005A2FA4" w:rsidP="00FD33FE">
            <w:pPr>
              <w:spacing w:line="280" w:lineRule="exact"/>
              <w:jc w:val="right"/>
              <w:rPr>
                <w:rFonts w:ascii="微軟正黑體" w:eastAsia="微軟正黑體" w:hAnsi="微軟正黑體" w:cstheme="minorHAnsi"/>
                <w:szCs w:val="24"/>
              </w:rPr>
            </w:pPr>
          </w:p>
        </w:tc>
        <w:tc>
          <w:tcPr>
            <w:tcW w:w="1275" w:type="dxa"/>
            <w:shd w:val="clear" w:color="auto" w:fill="auto"/>
          </w:tcPr>
          <w:p w14:paraId="5B01ADC5" w14:textId="77777777" w:rsidR="005A2FA4" w:rsidRPr="007C5032" w:rsidRDefault="005A2FA4" w:rsidP="00FD33FE">
            <w:pPr>
              <w:spacing w:line="280" w:lineRule="exact"/>
              <w:jc w:val="right"/>
              <w:rPr>
                <w:rFonts w:ascii="微軟正黑體" w:eastAsia="微軟正黑體" w:hAnsi="微軟正黑體" w:cstheme="minorHAnsi"/>
                <w:sz w:val="16"/>
                <w:szCs w:val="16"/>
              </w:rPr>
            </w:pPr>
          </w:p>
        </w:tc>
      </w:tr>
    </w:tbl>
    <w:p w14:paraId="086556CB" w14:textId="77777777" w:rsidR="005A2FA4" w:rsidRPr="005B2C89" w:rsidRDefault="005A2FA4" w:rsidP="005A2FA4">
      <w:pPr>
        <w:pStyle w:val="10"/>
      </w:pPr>
      <w:r w:rsidRPr="005B2C89">
        <w:rPr>
          <w:rFonts w:hint="eastAsia"/>
        </w:rPr>
        <w:t>經查</w:t>
      </w:r>
      <w:r>
        <w:rPr>
          <w:rFonts w:hint="eastAsia"/>
        </w:rPr>
        <w:t>國安會</w:t>
      </w:r>
      <w:r w:rsidRPr="005B2C89">
        <w:rPr>
          <w:rFonts w:hint="eastAsia"/>
        </w:rPr>
        <w:t>近三年決算書資料如上表，「</w:t>
      </w:r>
      <w:r>
        <w:rPr>
          <w:rFonts w:hint="eastAsia"/>
        </w:rPr>
        <w:t>權利使用費</w:t>
      </w:r>
      <w:r w:rsidRPr="005B2C89">
        <w:rPr>
          <w:rFonts w:hint="eastAsia"/>
        </w:rPr>
        <w:t>」近三年平均執行率為</w:t>
      </w:r>
      <w:r>
        <w:rPr>
          <w:rFonts w:hint="eastAsia"/>
        </w:rPr>
        <w:t>82</w:t>
      </w:r>
      <w:r w:rsidRPr="005B2C89">
        <w:rPr>
          <w:rFonts w:hint="eastAsia"/>
        </w:rPr>
        <w:t>.</w:t>
      </w:r>
      <w:r>
        <w:t>02</w:t>
      </w:r>
      <w:r>
        <w:rPr>
          <w:rFonts w:hint="eastAsia"/>
        </w:rPr>
        <w:t>％</w:t>
      </w:r>
      <w:r w:rsidRPr="005B2C89">
        <w:rPr>
          <w:rFonts w:hint="eastAsia"/>
        </w:rPr>
        <w:t>。剩餘數從</w:t>
      </w:r>
      <w:r>
        <w:rPr>
          <w:rFonts w:hint="eastAsia"/>
        </w:rPr>
        <w:t>4</w:t>
      </w:r>
      <w:r w:rsidRPr="005B2C89">
        <w:rPr>
          <w:rFonts w:hint="eastAsia"/>
        </w:rPr>
        <w:t>千元到</w:t>
      </w:r>
      <w:r>
        <w:rPr>
          <w:rFonts w:hint="eastAsia"/>
        </w:rPr>
        <w:t>177</w:t>
      </w:r>
      <w:r w:rsidRPr="005B2C89">
        <w:rPr>
          <w:rFonts w:hint="eastAsia"/>
        </w:rPr>
        <w:t>千元之間，顯見，原有經費編列與實際需求之間存有相當落差，致使經費運用效益低落。</w:t>
      </w:r>
    </w:p>
    <w:p w14:paraId="32BF5535" w14:textId="77777777" w:rsidR="005A2FA4" w:rsidRPr="005B2C89" w:rsidRDefault="005A2FA4" w:rsidP="005A2FA4">
      <w:pPr>
        <w:pStyle w:val="10"/>
      </w:pPr>
      <w:r w:rsidRPr="005B2C89">
        <w:rPr>
          <w:rFonts w:hint="eastAsia"/>
        </w:rPr>
        <w:t>然，115年中央政府總預算連同特別預算，已需舉債高達4千億元。政府各單位更應量入為出、撙節公帑，減列非必要、非急迫性的支出，以降低國庫舉債、債留子孫的壓力。</w:t>
      </w:r>
    </w:p>
    <w:p w14:paraId="71349337" w14:textId="77777777" w:rsidR="005A2FA4" w:rsidRPr="005B2C89" w:rsidRDefault="005A2FA4" w:rsidP="00815D38">
      <w:pPr>
        <w:pStyle w:val="10"/>
      </w:pPr>
      <w:r w:rsidRPr="005B2C89">
        <w:rPr>
          <w:rFonts w:hint="eastAsia"/>
        </w:rPr>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5A6A54F7" w14:textId="307D44C6" w:rsidR="00890645" w:rsidRPr="00890645" w:rsidRDefault="005A2FA4" w:rsidP="00815D38">
      <w:pPr>
        <w:pStyle w:val="10"/>
      </w:pPr>
      <w:r w:rsidRPr="005B2C89">
        <w:rPr>
          <w:rFonts w:hint="eastAsia"/>
        </w:rPr>
        <w:t>惟</w:t>
      </w:r>
      <w:r>
        <w:rPr>
          <w:rFonts w:hint="eastAsia"/>
        </w:rPr>
        <w:t>國安會</w:t>
      </w:r>
      <w:r w:rsidRPr="005B2C89">
        <w:rPr>
          <w:rFonts w:hint="eastAsia"/>
        </w:rPr>
        <w:t>115年度預算案仍編列「</w:t>
      </w:r>
      <w:r>
        <w:rPr>
          <w:rFonts w:hint="eastAsia"/>
        </w:rPr>
        <w:t>權利使用費</w:t>
      </w:r>
      <w:r w:rsidRPr="005B2C89">
        <w:rPr>
          <w:rFonts w:hint="eastAsia"/>
        </w:rPr>
        <w:t>」</w:t>
      </w:r>
      <w:r>
        <w:t>5</w:t>
      </w:r>
      <w:r w:rsidRPr="00DD7A70">
        <w:t>3</w:t>
      </w:r>
      <w:r>
        <w:t>0</w:t>
      </w:r>
      <w:r w:rsidRPr="005B2C89">
        <w:rPr>
          <w:rFonts w:hint="eastAsia"/>
        </w:rPr>
        <w:t>千元，</w:t>
      </w:r>
      <w:r w:rsidRPr="005B2C89">
        <w:rPr>
          <w:rFonts w:hint="eastAsia"/>
        </w:rPr>
        <w:lastRenderedPageBreak/>
        <w:t>與114</w:t>
      </w:r>
      <w:r>
        <w:rPr>
          <w:rFonts w:hint="eastAsia"/>
        </w:rPr>
        <w:t>年法定預算相比</w:t>
      </w:r>
      <w:r w:rsidRPr="008C300A">
        <w:rPr>
          <w:rFonts w:hint="eastAsia"/>
        </w:rPr>
        <w:t>。</w:t>
      </w:r>
      <w:r w:rsidRPr="005B2C89">
        <w:rPr>
          <w:rFonts w:hint="eastAsia"/>
        </w:rPr>
        <w:t>為兌現賴總統對美方的承諾，且為配合國防支出大幅增加之影響而必須撙節經費，</w:t>
      </w:r>
      <w:r w:rsidRPr="008C300A">
        <w:rPr>
          <w:rFonts w:hint="eastAsia"/>
          <w:b/>
          <w:u w:val="thick"/>
        </w:rPr>
        <w:t>爰提案減列</w:t>
      </w:r>
      <w:r>
        <w:rPr>
          <w:rFonts w:hint="eastAsia"/>
          <w:b/>
          <w:u w:val="thick"/>
        </w:rPr>
        <w:t>15</w:t>
      </w:r>
      <w:r w:rsidRPr="008C300A">
        <w:rPr>
          <w:rFonts w:hint="eastAsia"/>
          <w:b/>
          <w:u w:val="thick"/>
        </w:rPr>
        <w:t>萬元整（以</w:t>
      </w:r>
      <w:r>
        <w:rPr>
          <w:rFonts w:hint="eastAsia"/>
          <w:b/>
          <w:u w:val="thick"/>
        </w:rPr>
        <w:t>決算</w:t>
      </w:r>
      <w:r w:rsidRPr="008C300A">
        <w:rPr>
          <w:rFonts w:hint="eastAsia"/>
          <w:b/>
          <w:u w:val="thick"/>
        </w:rPr>
        <w:t>數</w:t>
      </w:r>
      <w:r>
        <w:rPr>
          <w:rFonts w:hint="eastAsia"/>
          <w:b/>
          <w:u w:val="thick"/>
        </w:rPr>
        <w:t>38</w:t>
      </w:r>
      <w:r w:rsidRPr="008C300A">
        <w:rPr>
          <w:rFonts w:hint="eastAsia"/>
          <w:b/>
          <w:u w:val="thick"/>
        </w:rPr>
        <w:t>萬計算）且不得流用勻支</w:t>
      </w:r>
      <w:r w:rsidRPr="005B2C89">
        <w:rPr>
          <w:rFonts w:hint="eastAsia"/>
        </w:rPr>
        <w:t>，以避免有限之財政資源閒置與浪費。</w:t>
      </w:r>
      <w:r w:rsidR="00890645" w:rsidRPr="00890645">
        <w:t>【</w:t>
      </w:r>
      <w:r w:rsidR="00815D38">
        <w:rPr>
          <w:rFonts w:hint="eastAsia"/>
        </w:rPr>
        <w:t>32</w:t>
      </w:r>
      <w:r w:rsidR="00890645" w:rsidRPr="00890645">
        <w:t>】</w:t>
      </w:r>
    </w:p>
    <w:p w14:paraId="3C4A7ABF" w14:textId="77777777" w:rsidR="00890645" w:rsidRPr="00890645" w:rsidRDefault="00890645" w:rsidP="00815D38">
      <w:pPr>
        <w:pStyle w:val="21"/>
      </w:pPr>
      <w:r w:rsidRPr="00890645">
        <w:t>提案人：翁曉玲</w:t>
      </w:r>
    </w:p>
    <w:p w14:paraId="1053C443" w14:textId="77777777" w:rsidR="00890645" w:rsidRPr="00890645" w:rsidRDefault="00890645" w:rsidP="00815D38">
      <w:pPr>
        <w:pStyle w:val="21"/>
      </w:pPr>
      <w:r w:rsidRPr="00890645">
        <w:t>連署人：許宇甄　林倩綺</w:t>
      </w:r>
    </w:p>
    <w:p w14:paraId="0FB9EB38" w14:textId="77777777" w:rsidR="00815D38" w:rsidRPr="00E97ED0" w:rsidRDefault="00815D38" w:rsidP="00815D38">
      <w:pPr>
        <w:pStyle w:val="1"/>
      </w:pPr>
      <w:r w:rsidRPr="00E97ED0">
        <w:rPr>
          <w:rFonts w:hint="eastAsia"/>
        </w:rPr>
        <w:t>國家安全會議(以下簡稱國安會)115年度預算案</w:t>
      </w:r>
      <w:r w:rsidRPr="00E97ED0">
        <w:t>編列246,631千元，比114年度法定預算223,589千元，增加23,042千元（</w:t>
      </w:r>
      <w:r w:rsidRPr="00E97ED0">
        <w:rPr>
          <w:rFonts w:hint="eastAsia"/>
        </w:rPr>
        <w:t>逾2千3百萬元</w:t>
      </w:r>
      <w:r w:rsidRPr="00E97ED0">
        <w:t>），成長幅度</w:t>
      </w:r>
      <w:r w:rsidRPr="00E97ED0">
        <w:rPr>
          <w:rFonts w:hint="eastAsia"/>
        </w:rPr>
        <w:t>1</w:t>
      </w:r>
      <w:r w:rsidRPr="00E97ED0">
        <w:t>0.31%。</w:t>
      </w:r>
    </w:p>
    <w:p w14:paraId="6A81850E" w14:textId="77777777" w:rsidR="00815D38" w:rsidRDefault="00815D38" w:rsidP="00815D38">
      <w:pPr>
        <w:pStyle w:val="10"/>
      </w:pPr>
      <w:r w:rsidRPr="00E97ED0">
        <w:rPr>
          <w:rFonts w:hint="eastAsia"/>
        </w:rPr>
        <w:t>國安會115年「</w:t>
      </w:r>
      <w:r>
        <w:rPr>
          <w:rFonts w:hint="eastAsia"/>
        </w:rPr>
        <w:t>按日按件計資酬金</w:t>
      </w:r>
      <w:r w:rsidRPr="00E97ED0">
        <w:rPr>
          <w:rFonts w:hint="eastAsia"/>
        </w:rPr>
        <w:t>」編列預算</w:t>
      </w:r>
      <w:r w:rsidRPr="005B2C89">
        <w:t>3,171</w:t>
      </w:r>
      <w:r w:rsidRPr="005B2C89">
        <w:rPr>
          <w:rFonts w:hint="eastAsia"/>
        </w:rPr>
        <w:t>千</w:t>
      </w:r>
      <w:r w:rsidRPr="00E97ED0">
        <w:rPr>
          <w:rFonts w:hint="eastAsia"/>
        </w:rPr>
        <w:t>元，較114年度預算數</w:t>
      </w:r>
      <w:r w:rsidRPr="005B2C89">
        <w:t>3,005</w:t>
      </w:r>
      <w:r w:rsidRPr="00E97ED0">
        <w:rPr>
          <w:rFonts w:hint="eastAsia"/>
        </w:rPr>
        <w:t>千元</w:t>
      </w:r>
      <w:r>
        <w:rPr>
          <w:rFonts w:hint="eastAsia"/>
        </w:rPr>
        <w:t>，</w:t>
      </w:r>
      <w:r w:rsidRPr="00E97ED0">
        <w:rPr>
          <w:rFonts w:hint="eastAsia"/>
        </w:rPr>
        <w:t>增</w:t>
      </w:r>
      <w:r>
        <w:rPr>
          <w:rFonts w:hint="eastAsia"/>
        </w:rPr>
        <w:t>列</w:t>
      </w:r>
      <w:r w:rsidRPr="005B2C89">
        <w:t>166</w:t>
      </w:r>
      <w:r w:rsidRPr="00E97ED0">
        <w:rPr>
          <w:rFonts w:hint="eastAsia"/>
        </w:rPr>
        <w:t>千元</w:t>
      </w:r>
      <w:r>
        <w:rPr>
          <w:rFonts w:hint="eastAsia"/>
        </w:rPr>
        <w:t>，增加幅度為</w:t>
      </w:r>
      <w:r w:rsidRPr="008C300A">
        <w:t>5.52%</w:t>
      </w:r>
      <w:r>
        <w:rPr>
          <w:rFonts w:hint="eastAsia"/>
        </w:rPr>
        <w:t>。</w:t>
      </w:r>
    </w:p>
    <w:tbl>
      <w:tblPr>
        <w:tblpPr w:leftFromText="180" w:rightFromText="180" w:vertAnchor="text" w:horzAnchor="margin" w:tblpY="194"/>
        <w:tblW w:w="89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9"/>
        <w:gridCol w:w="1701"/>
        <w:gridCol w:w="1701"/>
        <w:gridCol w:w="1701"/>
        <w:gridCol w:w="1701"/>
        <w:gridCol w:w="993"/>
      </w:tblGrid>
      <w:tr w:rsidR="00815D38" w:rsidRPr="00E97ED0" w14:paraId="232478FC" w14:textId="77777777" w:rsidTr="00815D38">
        <w:trPr>
          <w:tblHeader/>
        </w:trPr>
        <w:tc>
          <w:tcPr>
            <w:tcW w:w="8916" w:type="dxa"/>
            <w:gridSpan w:val="6"/>
          </w:tcPr>
          <w:p w14:paraId="05DA4F65" w14:textId="77777777" w:rsidR="00815D38" w:rsidRPr="00E97ED0" w:rsidRDefault="00815D38" w:rsidP="00FD33FE">
            <w:pPr>
              <w:spacing w:line="280" w:lineRule="exact"/>
              <w:jc w:val="center"/>
              <w:rPr>
                <w:rFonts w:ascii="微軟正黑體" w:eastAsia="微軟正黑體" w:hAnsi="微軟正黑體" w:cstheme="minorHAnsi"/>
                <w:b/>
                <w:bCs/>
                <w:szCs w:val="24"/>
              </w:rPr>
            </w:pPr>
            <w:r>
              <w:rPr>
                <w:rFonts w:ascii="微軟正黑體" w:eastAsia="微軟正黑體" w:hAnsi="微軟正黑體" w:cstheme="minorHAnsi" w:hint="eastAsia"/>
                <w:b/>
                <w:bCs/>
                <w:szCs w:val="24"/>
              </w:rPr>
              <w:t>按日按件計資酬金</w:t>
            </w:r>
          </w:p>
        </w:tc>
      </w:tr>
      <w:tr w:rsidR="00815D38" w:rsidRPr="00E97ED0" w14:paraId="2589CB8B" w14:textId="77777777" w:rsidTr="0001105B">
        <w:trPr>
          <w:tblHeader/>
        </w:trPr>
        <w:tc>
          <w:tcPr>
            <w:tcW w:w="1119" w:type="dxa"/>
          </w:tcPr>
          <w:p w14:paraId="4942243A"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E97ED0">
              <w:rPr>
                <w:rFonts w:ascii="微軟正黑體" w:eastAsia="微軟正黑體" w:hAnsi="微軟正黑體" w:cstheme="minorHAnsi" w:hint="eastAsia"/>
                <w:b/>
                <w:sz w:val="20"/>
                <w:szCs w:val="20"/>
              </w:rPr>
              <w:t>年度</w:t>
            </w:r>
          </w:p>
        </w:tc>
        <w:tc>
          <w:tcPr>
            <w:tcW w:w="1701" w:type="dxa"/>
          </w:tcPr>
          <w:p w14:paraId="0974A642"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預算</w:t>
            </w:r>
            <w:r>
              <w:rPr>
                <w:rFonts w:hint="eastAsia"/>
              </w:rPr>
              <w:t>數</w:t>
            </w:r>
            <w:r>
              <w:rPr>
                <w:rFonts w:hint="eastAsia"/>
              </w:rPr>
              <w:t>/</w:t>
            </w:r>
            <w:r>
              <w:rPr>
                <w:rFonts w:hint="eastAsia"/>
              </w:rPr>
              <w:t>千元</w:t>
            </w:r>
          </w:p>
        </w:tc>
        <w:tc>
          <w:tcPr>
            <w:tcW w:w="1701" w:type="dxa"/>
          </w:tcPr>
          <w:p w14:paraId="5B1AD5A4"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決算</w:t>
            </w:r>
            <w:r>
              <w:rPr>
                <w:rFonts w:hint="eastAsia"/>
              </w:rPr>
              <w:t>數</w:t>
            </w:r>
            <w:r w:rsidRPr="003352EA">
              <w:rPr>
                <w:rFonts w:hint="eastAsia"/>
              </w:rPr>
              <w:t>/</w:t>
            </w:r>
            <w:r w:rsidRPr="003352EA">
              <w:rPr>
                <w:rFonts w:hint="eastAsia"/>
              </w:rPr>
              <w:t>千元</w:t>
            </w:r>
          </w:p>
        </w:tc>
        <w:tc>
          <w:tcPr>
            <w:tcW w:w="1701" w:type="dxa"/>
          </w:tcPr>
          <w:p w14:paraId="2F82E01A"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執行率</w:t>
            </w:r>
          </w:p>
        </w:tc>
        <w:tc>
          <w:tcPr>
            <w:tcW w:w="1701" w:type="dxa"/>
            <w:shd w:val="clear" w:color="auto" w:fill="auto"/>
            <w:vAlign w:val="center"/>
          </w:tcPr>
          <w:p w14:paraId="4ADC1206"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剩餘數/千元</w:t>
            </w:r>
          </w:p>
        </w:tc>
        <w:tc>
          <w:tcPr>
            <w:tcW w:w="993" w:type="dxa"/>
            <w:shd w:val="clear" w:color="auto" w:fill="auto"/>
            <w:vAlign w:val="center"/>
          </w:tcPr>
          <w:p w14:paraId="77AC3C14"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備註</w:t>
            </w:r>
          </w:p>
        </w:tc>
      </w:tr>
      <w:tr w:rsidR="00815D38" w:rsidRPr="00E97ED0" w14:paraId="3317932C" w14:textId="77777777" w:rsidTr="0001105B">
        <w:tc>
          <w:tcPr>
            <w:tcW w:w="1119" w:type="dxa"/>
          </w:tcPr>
          <w:p w14:paraId="32526C23"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1701" w:type="dxa"/>
          </w:tcPr>
          <w:p w14:paraId="1F0B4FFC" w14:textId="77777777" w:rsidR="00815D38" w:rsidRPr="00E97ED0" w:rsidRDefault="00815D38" w:rsidP="00FD33FE">
            <w:pPr>
              <w:spacing w:line="280" w:lineRule="exact"/>
              <w:jc w:val="right"/>
              <w:rPr>
                <w:rFonts w:eastAsia="微軟正黑體" w:cstheme="minorHAnsi"/>
                <w:szCs w:val="24"/>
              </w:rPr>
            </w:pPr>
            <w:r w:rsidRPr="003D1AB4">
              <w:t xml:space="preserve">3,115 </w:t>
            </w:r>
          </w:p>
        </w:tc>
        <w:tc>
          <w:tcPr>
            <w:tcW w:w="1701" w:type="dxa"/>
          </w:tcPr>
          <w:p w14:paraId="10084526" w14:textId="77777777" w:rsidR="00815D38" w:rsidRPr="00D34ED4" w:rsidRDefault="00815D38" w:rsidP="00FD33FE">
            <w:pPr>
              <w:spacing w:line="280" w:lineRule="exact"/>
              <w:jc w:val="right"/>
              <w:rPr>
                <w:rFonts w:ascii="微軟正黑體" w:eastAsia="微軟正黑體" w:hAnsi="微軟正黑體" w:cstheme="minorHAnsi"/>
                <w:b/>
                <w:szCs w:val="24"/>
              </w:rPr>
            </w:pPr>
            <w:r w:rsidRPr="003D1AB4">
              <w:t xml:space="preserve">910 </w:t>
            </w:r>
          </w:p>
        </w:tc>
        <w:tc>
          <w:tcPr>
            <w:tcW w:w="1701" w:type="dxa"/>
          </w:tcPr>
          <w:p w14:paraId="28518B0A" w14:textId="77777777" w:rsidR="00815D38" w:rsidRPr="005D00F1" w:rsidRDefault="00815D38" w:rsidP="00FD33FE">
            <w:pPr>
              <w:spacing w:line="280" w:lineRule="exact"/>
              <w:jc w:val="right"/>
              <w:rPr>
                <w:rFonts w:ascii="微軟正黑體" w:eastAsia="微軟正黑體" w:hAnsi="微軟正黑體" w:cstheme="minorHAnsi"/>
                <w:b/>
                <w:sz w:val="20"/>
                <w:szCs w:val="20"/>
              </w:rPr>
            </w:pPr>
            <w:r w:rsidRPr="003D1AB4">
              <w:t>29.23%</w:t>
            </w:r>
          </w:p>
        </w:tc>
        <w:tc>
          <w:tcPr>
            <w:tcW w:w="1701" w:type="dxa"/>
            <w:shd w:val="clear" w:color="auto" w:fill="auto"/>
          </w:tcPr>
          <w:p w14:paraId="5B4FB601" w14:textId="77777777" w:rsidR="00815D38" w:rsidRPr="00E97ED0" w:rsidRDefault="00815D38" w:rsidP="00FD33FE">
            <w:pPr>
              <w:spacing w:line="280" w:lineRule="exact"/>
              <w:jc w:val="right"/>
              <w:rPr>
                <w:rFonts w:ascii="微軟正黑體" w:eastAsia="微軟正黑體" w:hAnsi="微軟正黑體" w:cstheme="minorHAnsi"/>
                <w:szCs w:val="24"/>
              </w:rPr>
            </w:pPr>
            <w:r w:rsidRPr="003D1AB4">
              <w:t xml:space="preserve">2,205 </w:t>
            </w:r>
          </w:p>
        </w:tc>
        <w:tc>
          <w:tcPr>
            <w:tcW w:w="993" w:type="dxa"/>
            <w:shd w:val="clear" w:color="auto" w:fill="auto"/>
          </w:tcPr>
          <w:p w14:paraId="1C06271F" w14:textId="77777777" w:rsidR="00815D38" w:rsidRPr="00E97ED0" w:rsidRDefault="00815D38" w:rsidP="00FD33FE">
            <w:pPr>
              <w:spacing w:line="280" w:lineRule="exact"/>
              <w:jc w:val="center"/>
              <w:rPr>
                <w:rFonts w:eastAsia="微軟正黑體" w:cstheme="minorHAnsi"/>
                <w:szCs w:val="24"/>
              </w:rPr>
            </w:pPr>
          </w:p>
        </w:tc>
      </w:tr>
      <w:tr w:rsidR="00815D38" w:rsidRPr="00E97ED0" w14:paraId="56A27511" w14:textId="77777777" w:rsidTr="0001105B">
        <w:tc>
          <w:tcPr>
            <w:tcW w:w="1119" w:type="dxa"/>
          </w:tcPr>
          <w:p w14:paraId="2A75E0B1"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1701" w:type="dxa"/>
          </w:tcPr>
          <w:p w14:paraId="0739BAC0" w14:textId="77777777" w:rsidR="00815D38" w:rsidRPr="00E97ED0" w:rsidRDefault="00815D38" w:rsidP="00FD33FE">
            <w:pPr>
              <w:spacing w:line="280" w:lineRule="exact"/>
              <w:jc w:val="right"/>
              <w:rPr>
                <w:rFonts w:eastAsia="微軟正黑體" w:cstheme="minorHAnsi"/>
                <w:szCs w:val="24"/>
              </w:rPr>
            </w:pPr>
            <w:r w:rsidRPr="003D1AB4">
              <w:t xml:space="preserve">3,179 </w:t>
            </w:r>
          </w:p>
        </w:tc>
        <w:tc>
          <w:tcPr>
            <w:tcW w:w="1701" w:type="dxa"/>
          </w:tcPr>
          <w:p w14:paraId="4CBE0010" w14:textId="77777777" w:rsidR="00815D38" w:rsidRPr="00E97ED0" w:rsidRDefault="00815D38" w:rsidP="00FD33FE">
            <w:pPr>
              <w:spacing w:line="280" w:lineRule="exact"/>
              <w:jc w:val="right"/>
              <w:rPr>
                <w:rFonts w:ascii="微軟正黑體" w:eastAsia="微軟正黑體" w:hAnsi="微軟正黑體" w:cstheme="minorHAnsi"/>
                <w:szCs w:val="24"/>
              </w:rPr>
            </w:pPr>
            <w:r w:rsidRPr="003D1AB4">
              <w:t xml:space="preserve">526 </w:t>
            </w:r>
          </w:p>
        </w:tc>
        <w:tc>
          <w:tcPr>
            <w:tcW w:w="1701" w:type="dxa"/>
          </w:tcPr>
          <w:p w14:paraId="30153503" w14:textId="77777777" w:rsidR="00815D38" w:rsidRPr="00E97ED0" w:rsidRDefault="00815D38" w:rsidP="00FD33FE">
            <w:pPr>
              <w:spacing w:line="280" w:lineRule="exact"/>
              <w:jc w:val="right"/>
              <w:rPr>
                <w:rFonts w:ascii="微軟正黑體" w:eastAsia="微軟正黑體" w:hAnsi="微軟正黑體" w:cstheme="minorHAnsi"/>
                <w:sz w:val="20"/>
                <w:szCs w:val="20"/>
              </w:rPr>
            </w:pPr>
            <w:r w:rsidRPr="003D1AB4">
              <w:t>16.56%</w:t>
            </w:r>
          </w:p>
        </w:tc>
        <w:tc>
          <w:tcPr>
            <w:tcW w:w="1701" w:type="dxa"/>
            <w:shd w:val="clear" w:color="auto" w:fill="auto"/>
          </w:tcPr>
          <w:p w14:paraId="389F8DB4" w14:textId="77777777" w:rsidR="00815D38" w:rsidRPr="00E97ED0" w:rsidRDefault="00815D38" w:rsidP="00FD33FE">
            <w:pPr>
              <w:spacing w:line="280" w:lineRule="exact"/>
              <w:jc w:val="right"/>
              <w:rPr>
                <w:rFonts w:ascii="微軟正黑體" w:eastAsia="微軟正黑體" w:hAnsi="微軟正黑體" w:cstheme="minorHAnsi"/>
                <w:szCs w:val="24"/>
              </w:rPr>
            </w:pPr>
            <w:r w:rsidRPr="003D1AB4">
              <w:t xml:space="preserve">2,653 </w:t>
            </w:r>
          </w:p>
        </w:tc>
        <w:tc>
          <w:tcPr>
            <w:tcW w:w="993" w:type="dxa"/>
            <w:shd w:val="clear" w:color="auto" w:fill="auto"/>
          </w:tcPr>
          <w:p w14:paraId="5C0C1585" w14:textId="77777777" w:rsidR="00815D38" w:rsidRPr="00E97ED0" w:rsidRDefault="00815D38" w:rsidP="00FD33FE">
            <w:pPr>
              <w:spacing w:line="280" w:lineRule="exact"/>
              <w:jc w:val="center"/>
              <w:rPr>
                <w:rFonts w:eastAsia="微軟正黑體" w:cstheme="minorHAnsi"/>
                <w:szCs w:val="24"/>
              </w:rPr>
            </w:pPr>
          </w:p>
        </w:tc>
      </w:tr>
      <w:tr w:rsidR="00815D38" w:rsidRPr="00E97ED0" w14:paraId="353154F6" w14:textId="77777777" w:rsidTr="0001105B">
        <w:tc>
          <w:tcPr>
            <w:tcW w:w="1119" w:type="dxa"/>
          </w:tcPr>
          <w:p w14:paraId="317200A4"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114</w:t>
            </w:r>
          </w:p>
        </w:tc>
        <w:tc>
          <w:tcPr>
            <w:tcW w:w="1701" w:type="dxa"/>
          </w:tcPr>
          <w:p w14:paraId="7D8F69E4" w14:textId="77777777" w:rsidR="00815D38" w:rsidRPr="00E97ED0" w:rsidRDefault="00815D38" w:rsidP="00FD33FE">
            <w:pPr>
              <w:spacing w:line="280" w:lineRule="exact"/>
              <w:jc w:val="right"/>
              <w:rPr>
                <w:rFonts w:eastAsia="微軟正黑體" w:cstheme="minorHAnsi"/>
                <w:szCs w:val="24"/>
              </w:rPr>
            </w:pPr>
            <w:r w:rsidRPr="003D1AB4">
              <w:t xml:space="preserve">3,005 </w:t>
            </w:r>
          </w:p>
        </w:tc>
        <w:tc>
          <w:tcPr>
            <w:tcW w:w="1701" w:type="dxa"/>
          </w:tcPr>
          <w:p w14:paraId="01DE59A0" w14:textId="77777777" w:rsidR="00815D38" w:rsidRPr="00CC6A7E" w:rsidRDefault="00815D38" w:rsidP="00FD33FE">
            <w:pPr>
              <w:spacing w:line="280" w:lineRule="exact"/>
              <w:jc w:val="right"/>
              <w:rPr>
                <w:rFonts w:eastAsia="微軟正黑體" w:cstheme="minorHAnsi"/>
                <w:szCs w:val="24"/>
              </w:rPr>
            </w:pPr>
            <w:r w:rsidRPr="003D1AB4">
              <w:t xml:space="preserve">536 </w:t>
            </w:r>
          </w:p>
        </w:tc>
        <w:tc>
          <w:tcPr>
            <w:tcW w:w="1701" w:type="dxa"/>
          </w:tcPr>
          <w:p w14:paraId="4A210419" w14:textId="77777777" w:rsidR="00815D38" w:rsidRPr="00D34ED4" w:rsidRDefault="00815D38" w:rsidP="00FD33FE">
            <w:pPr>
              <w:spacing w:line="280" w:lineRule="exact"/>
              <w:jc w:val="right"/>
              <w:rPr>
                <w:rFonts w:ascii="微軟正黑體" w:eastAsia="微軟正黑體" w:hAnsi="微軟正黑體" w:cstheme="minorHAnsi"/>
                <w:b/>
                <w:sz w:val="22"/>
              </w:rPr>
            </w:pPr>
            <w:r w:rsidRPr="003D1AB4">
              <w:t>17.84%</w:t>
            </w:r>
          </w:p>
        </w:tc>
        <w:tc>
          <w:tcPr>
            <w:tcW w:w="1701" w:type="dxa"/>
            <w:shd w:val="clear" w:color="auto" w:fill="auto"/>
          </w:tcPr>
          <w:p w14:paraId="6FA71D08" w14:textId="77777777" w:rsidR="00815D38" w:rsidRPr="00E97ED0" w:rsidRDefault="00815D38" w:rsidP="00FD33FE">
            <w:pPr>
              <w:spacing w:line="280" w:lineRule="exact"/>
              <w:jc w:val="right"/>
              <w:rPr>
                <w:rFonts w:ascii="微軟正黑體" w:eastAsia="微軟正黑體" w:hAnsi="微軟正黑體" w:cstheme="minorHAnsi"/>
                <w:szCs w:val="24"/>
              </w:rPr>
            </w:pPr>
            <w:r w:rsidRPr="003D1AB4">
              <w:t xml:space="preserve">2,469 </w:t>
            </w:r>
          </w:p>
        </w:tc>
        <w:tc>
          <w:tcPr>
            <w:tcW w:w="993" w:type="dxa"/>
            <w:shd w:val="clear" w:color="auto" w:fill="auto"/>
          </w:tcPr>
          <w:p w14:paraId="7911A69A" w14:textId="77777777" w:rsidR="00815D38" w:rsidRPr="009A32B8" w:rsidRDefault="00815D38" w:rsidP="00FD33FE">
            <w:pPr>
              <w:spacing w:line="280" w:lineRule="exact"/>
              <w:jc w:val="center"/>
              <w:rPr>
                <w:rFonts w:eastAsia="微軟正黑體" w:cstheme="minorHAnsi"/>
                <w:szCs w:val="24"/>
              </w:rPr>
            </w:pPr>
          </w:p>
        </w:tc>
      </w:tr>
      <w:tr w:rsidR="00815D38" w:rsidRPr="00E97ED0" w14:paraId="7D94D25C" w14:textId="77777777" w:rsidTr="0001105B">
        <w:tc>
          <w:tcPr>
            <w:tcW w:w="1119" w:type="dxa"/>
          </w:tcPr>
          <w:p w14:paraId="40953450"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1701" w:type="dxa"/>
          </w:tcPr>
          <w:p w14:paraId="3704BDD3" w14:textId="77777777" w:rsidR="00815D38" w:rsidRPr="00E97ED0" w:rsidRDefault="00815D38" w:rsidP="00FD33FE">
            <w:pPr>
              <w:spacing w:line="280" w:lineRule="exact"/>
              <w:jc w:val="center"/>
              <w:rPr>
                <w:rFonts w:eastAsia="微軟正黑體" w:cstheme="minorHAnsi"/>
                <w:szCs w:val="24"/>
              </w:rPr>
            </w:pPr>
            <w:r w:rsidRPr="005B2C89">
              <w:rPr>
                <w:rFonts w:eastAsia="微軟正黑體" w:cstheme="minorHAnsi"/>
                <w:szCs w:val="24"/>
              </w:rPr>
              <w:t>3,171</w:t>
            </w:r>
          </w:p>
        </w:tc>
        <w:tc>
          <w:tcPr>
            <w:tcW w:w="1701" w:type="dxa"/>
          </w:tcPr>
          <w:p w14:paraId="4BF31C8C"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1701" w:type="dxa"/>
          </w:tcPr>
          <w:p w14:paraId="489AF8FB"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1701" w:type="dxa"/>
            <w:shd w:val="clear" w:color="auto" w:fill="auto"/>
          </w:tcPr>
          <w:p w14:paraId="7C4E9204"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993" w:type="dxa"/>
            <w:shd w:val="clear" w:color="auto" w:fill="auto"/>
          </w:tcPr>
          <w:p w14:paraId="6D44A5AD" w14:textId="77777777" w:rsidR="00815D38" w:rsidRPr="007C5032" w:rsidRDefault="00815D38" w:rsidP="00FD33FE">
            <w:pPr>
              <w:spacing w:line="280" w:lineRule="exact"/>
              <w:jc w:val="right"/>
              <w:rPr>
                <w:rFonts w:ascii="微軟正黑體" w:eastAsia="微軟正黑體" w:hAnsi="微軟正黑體" w:cstheme="minorHAnsi"/>
                <w:sz w:val="16"/>
                <w:szCs w:val="16"/>
              </w:rPr>
            </w:pPr>
          </w:p>
        </w:tc>
      </w:tr>
    </w:tbl>
    <w:p w14:paraId="5156FEA5" w14:textId="77777777" w:rsidR="00815D38" w:rsidRPr="005B2C89" w:rsidRDefault="00815D38" w:rsidP="00815D38">
      <w:pPr>
        <w:pStyle w:val="10"/>
      </w:pPr>
      <w:r w:rsidRPr="005B2C89">
        <w:rPr>
          <w:rFonts w:hint="eastAsia"/>
        </w:rPr>
        <w:t>經查</w:t>
      </w:r>
      <w:r>
        <w:rPr>
          <w:rFonts w:hint="eastAsia"/>
        </w:rPr>
        <w:t>國安會</w:t>
      </w:r>
      <w:r w:rsidRPr="005B2C89">
        <w:rPr>
          <w:rFonts w:hint="eastAsia"/>
        </w:rPr>
        <w:t>近三年決算書資料如上表，「</w:t>
      </w:r>
      <w:r>
        <w:rPr>
          <w:rFonts w:hint="eastAsia"/>
        </w:rPr>
        <w:t>按日按件計資酬金</w:t>
      </w:r>
      <w:r w:rsidRPr="005B2C89">
        <w:rPr>
          <w:rFonts w:hint="eastAsia"/>
        </w:rPr>
        <w:t>」近三年平均執行率為</w:t>
      </w:r>
      <w:r>
        <w:rPr>
          <w:rFonts w:hint="eastAsia"/>
        </w:rPr>
        <w:t>21</w:t>
      </w:r>
      <w:r w:rsidRPr="005B2C89">
        <w:rPr>
          <w:rFonts w:hint="eastAsia"/>
        </w:rPr>
        <w:t>.</w:t>
      </w:r>
      <w:r>
        <w:t>21</w:t>
      </w:r>
      <w:r w:rsidRPr="005B2C89">
        <w:rPr>
          <w:rFonts w:hint="eastAsia"/>
        </w:rPr>
        <w:t>％，</w:t>
      </w:r>
      <w:r>
        <w:rPr>
          <w:rFonts w:hint="eastAsia"/>
        </w:rPr>
        <w:t>已連續兩年</w:t>
      </w:r>
      <w:r w:rsidRPr="005B2C89">
        <w:rPr>
          <w:rFonts w:hint="eastAsia"/>
        </w:rPr>
        <w:t>執行率</w:t>
      </w:r>
      <w:r>
        <w:rPr>
          <w:rFonts w:hint="eastAsia"/>
        </w:rPr>
        <w:t>不到2成</w:t>
      </w:r>
      <w:r w:rsidRPr="005B2C89">
        <w:rPr>
          <w:rFonts w:hint="eastAsia"/>
        </w:rPr>
        <w:t>。剩餘數從</w:t>
      </w:r>
      <w:r>
        <w:rPr>
          <w:rFonts w:hint="eastAsia"/>
        </w:rPr>
        <w:t>2,205</w:t>
      </w:r>
      <w:r w:rsidRPr="005B2C89">
        <w:rPr>
          <w:rFonts w:hint="eastAsia"/>
        </w:rPr>
        <w:t>千元到</w:t>
      </w:r>
      <w:r>
        <w:rPr>
          <w:rFonts w:hint="eastAsia"/>
        </w:rPr>
        <w:t>2,</w:t>
      </w:r>
      <w:r>
        <w:t>653</w:t>
      </w:r>
      <w:r w:rsidRPr="005B2C89">
        <w:rPr>
          <w:rFonts w:hint="eastAsia"/>
        </w:rPr>
        <w:t>千元之間，顯見，原有經費編列與實際需求之間存有相當落差，致使經費運用效益低落。</w:t>
      </w:r>
    </w:p>
    <w:p w14:paraId="1173D716" w14:textId="77777777" w:rsidR="00815D38" w:rsidRPr="005B2C89" w:rsidRDefault="00815D38" w:rsidP="00815D38">
      <w:pPr>
        <w:pStyle w:val="10"/>
      </w:pPr>
      <w:r w:rsidRPr="005B2C89">
        <w:rPr>
          <w:rFonts w:hint="eastAsia"/>
        </w:rPr>
        <w:t>然，115年中央政府總預算連同特別預算，已需舉債高達4千億元。政府各單位更應量入為出、撙節公帑，減列非必要、非急迫性的支出，以降低國庫舉債、債留子孫的壓力。</w:t>
      </w:r>
    </w:p>
    <w:p w14:paraId="240F23FC" w14:textId="77777777" w:rsidR="00815D38" w:rsidRPr="005B2C89" w:rsidRDefault="00815D38" w:rsidP="00815D38">
      <w:pPr>
        <w:pStyle w:val="10"/>
      </w:pPr>
      <w:r w:rsidRPr="005B2C89">
        <w:rPr>
          <w:rFonts w:hint="eastAsia"/>
        </w:rPr>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789CEDC4" w14:textId="1F5838E7" w:rsidR="00890645" w:rsidRPr="00890645" w:rsidRDefault="00815D38" w:rsidP="00815D38">
      <w:pPr>
        <w:pStyle w:val="10"/>
      </w:pPr>
      <w:r w:rsidRPr="005B2C89">
        <w:rPr>
          <w:rFonts w:hint="eastAsia"/>
        </w:rPr>
        <w:t>惟</w:t>
      </w:r>
      <w:r>
        <w:rPr>
          <w:rFonts w:hint="eastAsia"/>
        </w:rPr>
        <w:t>國安會</w:t>
      </w:r>
      <w:r w:rsidRPr="005B2C89">
        <w:rPr>
          <w:rFonts w:hint="eastAsia"/>
        </w:rPr>
        <w:t>115年度預算案仍編列「</w:t>
      </w:r>
      <w:r>
        <w:rPr>
          <w:rFonts w:hint="eastAsia"/>
        </w:rPr>
        <w:t>按日按件計資酬金</w:t>
      </w:r>
      <w:r w:rsidRPr="005B2C89">
        <w:rPr>
          <w:rFonts w:hint="eastAsia"/>
        </w:rPr>
        <w:t>」</w:t>
      </w:r>
      <w:r w:rsidRPr="005B2C89">
        <w:t>3,171</w:t>
      </w:r>
      <w:r w:rsidRPr="005B2C89">
        <w:rPr>
          <w:rFonts w:hint="eastAsia"/>
        </w:rPr>
        <w:t>千元，與114年法定預算相比，</w:t>
      </w:r>
      <w:r w:rsidRPr="008C300A">
        <w:rPr>
          <w:rFonts w:hint="eastAsia"/>
        </w:rPr>
        <w:t>增列166千元，增加幅度為5.52%。</w:t>
      </w:r>
      <w:r w:rsidRPr="005B2C89">
        <w:rPr>
          <w:rFonts w:hint="eastAsia"/>
        </w:rPr>
        <w:t>為兌現賴總統對美方的承諾，且為配合國防支出大幅增加之影響而必須撙節經費，</w:t>
      </w:r>
      <w:r w:rsidRPr="008C300A">
        <w:rPr>
          <w:rFonts w:hint="eastAsia"/>
          <w:b/>
          <w:u w:val="thick"/>
        </w:rPr>
        <w:t>爰提案減列250萬元整（以</w:t>
      </w:r>
      <w:r>
        <w:rPr>
          <w:rFonts w:hint="eastAsia"/>
          <w:b/>
          <w:u w:val="thick"/>
        </w:rPr>
        <w:t>決算</w:t>
      </w:r>
      <w:r w:rsidRPr="008C300A">
        <w:rPr>
          <w:rFonts w:hint="eastAsia"/>
          <w:b/>
          <w:u w:val="thick"/>
        </w:rPr>
        <w:t>數60萬計算）且不得流用勻支</w:t>
      </w:r>
      <w:r w:rsidRPr="005B2C89">
        <w:rPr>
          <w:rFonts w:hint="eastAsia"/>
        </w:rPr>
        <w:t>，以避免有限之財政資源閒置與浪費。</w:t>
      </w:r>
      <w:r w:rsidR="00890645" w:rsidRPr="00890645">
        <w:t>【</w:t>
      </w:r>
      <w:r>
        <w:rPr>
          <w:rFonts w:hint="eastAsia"/>
        </w:rPr>
        <w:t>33</w:t>
      </w:r>
      <w:r w:rsidR="00890645" w:rsidRPr="00890645">
        <w:t>】</w:t>
      </w:r>
    </w:p>
    <w:p w14:paraId="375A7795" w14:textId="77777777" w:rsidR="00890645" w:rsidRPr="00890645" w:rsidRDefault="00890645" w:rsidP="00815D38">
      <w:pPr>
        <w:pStyle w:val="21"/>
      </w:pPr>
      <w:r w:rsidRPr="00890645">
        <w:lastRenderedPageBreak/>
        <w:t>提案人：翁曉玲</w:t>
      </w:r>
    </w:p>
    <w:p w14:paraId="24AA60E1" w14:textId="77777777" w:rsidR="00890645" w:rsidRPr="00890645" w:rsidRDefault="00890645" w:rsidP="00815D38">
      <w:pPr>
        <w:pStyle w:val="21"/>
      </w:pPr>
      <w:r w:rsidRPr="00890645">
        <w:t>連署人：許宇甄　林倩綺</w:t>
      </w:r>
    </w:p>
    <w:p w14:paraId="0CD5461B" w14:textId="17571D99" w:rsidR="00815D38" w:rsidRPr="00E97ED0" w:rsidRDefault="00815D38" w:rsidP="00815D38">
      <w:pPr>
        <w:pStyle w:val="1"/>
      </w:pPr>
      <w:r w:rsidRPr="00E97ED0">
        <w:rPr>
          <w:rFonts w:hint="eastAsia"/>
        </w:rPr>
        <w:t>國家安全會議(以下簡稱國安會)115年度預算案</w:t>
      </w:r>
      <w:r w:rsidRPr="00E97ED0">
        <w:t>編列246,631千元，比114年度法定預算223,589千元，增加23,042千元（</w:t>
      </w:r>
      <w:r w:rsidRPr="00E97ED0">
        <w:rPr>
          <w:rFonts w:hint="eastAsia"/>
        </w:rPr>
        <w:t>逾2千3百萬元</w:t>
      </w:r>
      <w:r w:rsidRPr="00E97ED0">
        <w:t>），成長幅度</w:t>
      </w:r>
      <w:r w:rsidRPr="00E97ED0">
        <w:rPr>
          <w:rFonts w:hint="eastAsia"/>
        </w:rPr>
        <w:t>1</w:t>
      </w:r>
      <w:r w:rsidRPr="00E97ED0">
        <w:t>0.31%。</w:t>
      </w:r>
    </w:p>
    <w:p w14:paraId="6CEF2FE8" w14:textId="77777777" w:rsidR="00815D38" w:rsidRPr="00940C79" w:rsidRDefault="00815D38" w:rsidP="00815D38">
      <w:pPr>
        <w:pStyle w:val="10"/>
      </w:pPr>
      <w:r w:rsidRPr="00E97ED0">
        <w:rPr>
          <w:rFonts w:hint="eastAsia"/>
        </w:rPr>
        <w:t>國安會115年「</w:t>
      </w:r>
      <w:r>
        <w:rPr>
          <w:rFonts w:hint="eastAsia"/>
        </w:rPr>
        <w:t>委辦費</w:t>
      </w:r>
      <w:r w:rsidRPr="00E97ED0">
        <w:rPr>
          <w:rFonts w:hint="eastAsia"/>
        </w:rPr>
        <w:t>」編列預算</w:t>
      </w:r>
      <w:r w:rsidRPr="00936616">
        <w:t>1,600</w:t>
      </w:r>
      <w:r>
        <w:rPr>
          <w:rFonts w:hint="eastAsia"/>
        </w:rPr>
        <w:t>千</w:t>
      </w:r>
      <w:r w:rsidRPr="00E97ED0">
        <w:rPr>
          <w:rFonts w:hint="eastAsia"/>
        </w:rPr>
        <w:t>元，較114年度預算數</w:t>
      </w:r>
      <w:r>
        <w:rPr>
          <w:rFonts w:hint="eastAsia"/>
        </w:rPr>
        <w:t>1</w:t>
      </w:r>
      <w:r w:rsidRPr="00457781">
        <w:t>,</w:t>
      </w:r>
      <w:r>
        <w:t>620</w:t>
      </w:r>
      <w:r w:rsidRPr="00E97ED0">
        <w:rPr>
          <w:rFonts w:hint="eastAsia"/>
        </w:rPr>
        <w:t>千元</w:t>
      </w:r>
      <w:r>
        <w:rPr>
          <w:rFonts w:hint="eastAsia"/>
        </w:rPr>
        <w:t>，減列2</w:t>
      </w:r>
      <w:r>
        <w:t>0</w:t>
      </w:r>
      <w:r w:rsidRPr="00E97ED0">
        <w:rPr>
          <w:rFonts w:hint="eastAsia"/>
        </w:rPr>
        <w:t>千元</w:t>
      </w:r>
      <w:r>
        <w:rPr>
          <w:rFonts w:hint="eastAsia"/>
        </w:rPr>
        <w:t>。</w:t>
      </w:r>
    </w:p>
    <w:tbl>
      <w:tblPr>
        <w:tblpPr w:leftFromText="180" w:rightFromText="180" w:vertAnchor="text" w:horzAnchor="margin" w:tblpY="14"/>
        <w:tblW w:w="89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9"/>
        <w:gridCol w:w="1665"/>
        <w:gridCol w:w="1666"/>
        <w:gridCol w:w="1666"/>
        <w:gridCol w:w="1666"/>
        <w:gridCol w:w="1134"/>
      </w:tblGrid>
      <w:tr w:rsidR="00815D38" w:rsidRPr="00940C79" w14:paraId="3C257A70" w14:textId="77777777" w:rsidTr="00815D38">
        <w:trPr>
          <w:tblHeader/>
        </w:trPr>
        <w:tc>
          <w:tcPr>
            <w:tcW w:w="8916" w:type="dxa"/>
            <w:gridSpan w:val="6"/>
          </w:tcPr>
          <w:p w14:paraId="2F0DB6AB" w14:textId="77777777" w:rsidR="00815D38" w:rsidRPr="00940C79" w:rsidRDefault="00815D38" w:rsidP="00FD33FE">
            <w:pPr>
              <w:spacing w:line="280" w:lineRule="exact"/>
              <w:jc w:val="center"/>
              <w:rPr>
                <w:rFonts w:ascii="微軟正黑體" w:eastAsia="微軟正黑體" w:hAnsi="微軟正黑體" w:cstheme="minorHAnsi"/>
                <w:bCs/>
                <w:szCs w:val="24"/>
              </w:rPr>
            </w:pPr>
            <w:r>
              <w:rPr>
                <w:rFonts w:ascii="微軟正黑體" w:eastAsia="微軟正黑體" w:hAnsi="微軟正黑體" w:cstheme="minorHAnsi" w:hint="eastAsia"/>
                <w:bCs/>
                <w:szCs w:val="24"/>
              </w:rPr>
              <w:t>委辦費</w:t>
            </w:r>
          </w:p>
        </w:tc>
      </w:tr>
      <w:tr w:rsidR="00815D38" w:rsidRPr="00E97ED0" w14:paraId="3DCA6AF5" w14:textId="77777777" w:rsidTr="00815D38">
        <w:trPr>
          <w:tblHeader/>
        </w:trPr>
        <w:tc>
          <w:tcPr>
            <w:tcW w:w="1119" w:type="dxa"/>
          </w:tcPr>
          <w:p w14:paraId="04D6FCFF"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E97ED0">
              <w:rPr>
                <w:rFonts w:ascii="微軟正黑體" w:eastAsia="微軟正黑體" w:hAnsi="微軟正黑體" w:cstheme="minorHAnsi" w:hint="eastAsia"/>
                <w:b/>
                <w:sz w:val="20"/>
                <w:szCs w:val="20"/>
              </w:rPr>
              <w:t>年度</w:t>
            </w:r>
          </w:p>
        </w:tc>
        <w:tc>
          <w:tcPr>
            <w:tcW w:w="1665" w:type="dxa"/>
          </w:tcPr>
          <w:p w14:paraId="46B4821A"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預算</w:t>
            </w:r>
            <w:r>
              <w:rPr>
                <w:rFonts w:hint="eastAsia"/>
              </w:rPr>
              <w:t>數</w:t>
            </w:r>
            <w:r>
              <w:rPr>
                <w:rFonts w:hint="eastAsia"/>
              </w:rPr>
              <w:t>/</w:t>
            </w:r>
            <w:r>
              <w:rPr>
                <w:rFonts w:hint="eastAsia"/>
              </w:rPr>
              <w:t>千元</w:t>
            </w:r>
          </w:p>
        </w:tc>
        <w:tc>
          <w:tcPr>
            <w:tcW w:w="1666" w:type="dxa"/>
          </w:tcPr>
          <w:p w14:paraId="15EFF385"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決算</w:t>
            </w:r>
            <w:r>
              <w:rPr>
                <w:rFonts w:hint="eastAsia"/>
              </w:rPr>
              <w:t>數</w:t>
            </w:r>
            <w:r w:rsidRPr="003352EA">
              <w:rPr>
                <w:rFonts w:hint="eastAsia"/>
              </w:rPr>
              <w:t>/</w:t>
            </w:r>
            <w:r w:rsidRPr="003352EA">
              <w:rPr>
                <w:rFonts w:hint="eastAsia"/>
              </w:rPr>
              <w:t>千元</w:t>
            </w:r>
          </w:p>
        </w:tc>
        <w:tc>
          <w:tcPr>
            <w:tcW w:w="1666" w:type="dxa"/>
          </w:tcPr>
          <w:p w14:paraId="315DE127"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sidRPr="003352EA">
              <w:rPr>
                <w:rFonts w:hint="eastAsia"/>
              </w:rPr>
              <w:t>執行率</w:t>
            </w:r>
          </w:p>
        </w:tc>
        <w:tc>
          <w:tcPr>
            <w:tcW w:w="1666" w:type="dxa"/>
            <w:shd w:val="clear" w:color="auto" w:fill="auto"/>
            <w:vAlign w:val="center"/>
          </w:tcPr>
          <w:p w14:paraId="7993529B"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剩餘數/千元</w:t>
            </w:r>
          </w:p>
        </w:tc>
        <w:tc>
          <w:tcPr>
            <w:tcW w:w="1134" w:type="dxa"/>
            <w:shd w:val="clear" w:color="auto" w:fill="auto"/>
            <w:vAlign w:val="center"/>
          </w:tcPr>
          <w:p w14:paraId="23D5026A" w14:textId="77777777" w:rsidR="00815D38" w:rsidRPr="00E97ED0" w:rsidRDefault="00815D38" w:rsidP="00FD33FE">
            <w:pPr>
              <w:spacing w:line="280" w:lineRule="exact"/>
              <w:jc w:val="center"/>
              <w:rPr>
                <w:rFonts w:ascii="微軟正黑體" w:eastAsia="微軟正黑體" w:hAnsi="微軟正黑體" w:cstheme="minorHAnsi"/>
                <w:b/>
                <w:sz w:val="20"/>
                <w:szCs w:val="20"/>
              </w:rPr>
            </w:pPr>
            <w:r>
              <w:rPr>
                <w:rFonts w:ascii="微軟正黑體" w:eastAsia="微軟正黑體" w:hAnsi="微軟正黑體" w:cstheme="minorHAnsi" w:hint="eastAsia"/>
                <w:b/>
                <w:sz w:val="20"/>
                <w:szCs w:val="20"/>
              </w:rPr>
              <w:t>備註</w:t>
            </w:r>
          </w:p>
        </w:tc>
      </w:tr>
      <w:tr w:rsidR="00815D38" w:rsidRPr="00E97ED0" w14:paraId="30891749" w14:textId="77777777" w:rsidTr="00815D38">
        <w:tc>
          <w:tcPr>
            <w:tcW w:w="1119" w:type="dxa"/>
          </w:tcPr>
          <w:p w14:paraId="197619AA"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1665" w:type="dxa"/>
          </w:tcPr>
          <w:p w14:paraId="62C34E5F" w14:textId="77777777" w:rsidR="00815D38" w:rsidRPr="00E97ED0" w:rsidRDefault="00815D38" w:rsidP="00FD33FE">
            <w:pPr>
              <w:spacing w:line="280" w:lineRule="exact"/>
              <w:jc w:val="right"/>
              <w:rPr>
                <w:rFonts w:eastAsia="微軟正黑體" w:cstheme="minorHAnsi"/>
                <w:szCs w:val="24"/>
              </w:rPr>
            </w:pPr>
            <w:r w:rsidRPr="00DD27FD">
              <w:t xml:space="preserve">1,150 </w:t>
            </w:r>
          </w:p>
        </w:tc>
        <w:tc>
          <w:tcPr>
            <w:tcW w:w="1666" w:type="dxa"/>
          </w:tcPr>
          <w:p w14:paraId="79A27484" w14:textId="77777777" w:rsidR="00815D38" w:rsidRPr="00D34ED4" w:rsidRDefault="00815D38" w:rsidP="00FD33FE">
            <w:pPr>
              <w:spacing w:line="280" w:lineRule="exact"/>
              <w:jc w:val="right"/>
              <w:rPr>
                <w:rFonts w:ascii="微軟正黑體" w:eastAsia="微軟正黑體" w:hAnsi="微軟正黑體" w:cstheme="minorHAnsi"/>
                <w:b/>
                <w:szCs w:val="24"/>
              </w:rPr>
            </w:pPr>
            <w:r w:rsidRPr="00DD27FD">
              <w:t xml:space="preserve">851 </w:t>
            </w:r>
          </w:p>
        </w:tc>
        <w:tc>
          <w:tcPr>
            <w:tcW w:w="1666" w:type="dxa"/>
          </w:tcPr>
          <w:p w14:paraId="685CDC45" w14:textId="77777777" w:rsidR="00815D38" w:rsidRPr="005D00F1" w:rsidRDefault="00815D38" w:rsidP="00FD33FE">
            <w:pPr>
              <w:spacing w:line="280" w:lineRule="exact"/>
              <w:jc w:val="center"/>
              <w:rPr>
                <w:rFonts w:ascii="微軟正黑體" w:eastAsia="微軟正黑體" w:hAnsi="微軟正黑體" w:cstheme="minorHAnsi"/>
                <w:b/>
                <w:sz w:val="20"/>
                <w:szCs w:val="20"/>
              </w:rPr>
            </w:pPr>
            <w:r w:rsidRPr="00DD27FD">
              <w:t>74.01%</w:t>
            </w:r>
          </w:p>
        </w:tc>
        <w:tc>
          <w:tcPr>
            <w:tcW w:w="1666" w:type="dxa"/>
            <w:shd w:val="clear" w:color="auto" w:fill="auto"/>
          </w:tcPr>
          <w:p w14:paraId="4D7B27B2" w14:textId="77777777" w:rsidR="00815D38" w:rsidRPr="00E97ED0" w:rsidRDefault="00815D38" w:rsidP="00FD33FE">
            <w:pPr>
              <w:spacing w:line="280" w:lineRule="exact"/>
              <w:jc w:val="right"/>
              <w:rPr>
                <w:rFonts w:ascii="微軟正黑體" w:eastAsia="微軟正黑體" w:hAnsi="微軟正黑體" w:cstheme="minorHAnsi"/>
                <w:szCs w:val="24"/>
              </w:rPr>
            </w:pPr>
            <w:r w:rsidRPr="00DD27FD">
              <w:t xml:space="preserve">299 </w:t>
            </w:r>
          </w:p>
        </w:tc>
        <w:tc>
          <w:tcPr>
            <w:tcW w:w="1134" w:type="dxa"/>
            <w:shd w:val="clear" w:color="auto" w:fill="auto"/>
          </w:tcPr>
          <w:p w14:paraId="08AEAF55" w14:textId="77777777" w:rsidR="00815D38" w:rsidRPr="00E97ED0" w:rsidRDefault="00815D38" w:rsidP="00FD33FE">
            <w:pPr>
              <w:spacing w:line="280" w:lineRule="exact"/>
              <w:jc w:val="center"/>
              <w:rPr>
                <w:rFonts w:eastAsia="微軟正黑體" w:cstheme="minorHAnsi"/>
                <w:szCs w:val="24"/>
              </w:rPr>
            </w:pPr>
          </w:p>
        </w:tc>
      </w:tr>
      <w:tr w:rsidR="00815D38" w:rsidRPr="00E97ED0" w14:paraId="6298D6D2" w14:textId="77777777" w:rsidTr="00815D38">
        <w:tc>
          <w:tcPr>
            <w:tcW w:w="1119" w:type="dxa"/>
          </w:tcPr>
          <w:p w14:paraId="164F2955"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1665" w:type="dxa"/>
          </w:tcPr>
          <w:p w14:paraId="75F1653D" w14:textId="77777777" w:rsidR="00815D38" w:rsidRPr="00E97ED0" w:rsidRDefault="00815D38" w:rsidP="00FD33FE">
            <w:pPr>
              <w:spacing w:line="280" w:lineRule="exact"/>
              <w:jc w:val="right"/>
              <w:rPr>
                <w:rFonts w:eastAsia="微軟正黑體" w:cstheme="minorHAnsi"/>
                <w:szCs w:val="24"/>
              </w:rPr>
            </w:pPr>
            <w:r w:rsidRPr="00DD27FD">
              <w:t xml:space="preserve">1,195 </w:t>
            </w:r>
          </w:p>
        </w:tc>
        <w:tc>
          <w:tcPr>
            <w:tcW w:w="1666" w:type="dxa"/>
          </w:tcPr>
          <w:p w14:paraId="48C5BA50" w14:textId="77777777" w:rsidR="00815D38" w:rsidRPr="00E97ED0" w:rsidRDefault="00815D38" w:rsidP="00FD33FE">
            <w:pPr>
              <w:spacing w:line="280" w:lineRule="exact"/>
              <w:jc w:val="right"/>
              <w:rPr>
                <w:rFonts w:ascii="微軟正黑體" w:eastAsia="微軟正黑體" w:hAnsi="微軟正黑體" w:cstheme="minorHAnsi"/>
                <w:szCs w:val="24"/>
              </w:rPr>
            </w:pPr>
            <w:r w:rsidRPr="00DD27FD">
              <w:t xml:space="preserve">99 </w:t>
            </w:r>
          </w:p>
        </w:tc>
        <w:tc>
          <w:tcPr>
            <w:tcW w:w="1666" w:type="dxa"/>
          </w:tcPr>
          <w:p w14:paraId="6489714B" w14:textId="77777777" w:rsidR="00815D38" w:rsidRPr="00E97ED0" w:rsidRDefault="00815D38" w:rsidP="00FD33FE">
            <w:pPr>
              <w:spacing w:line="280" w:lineRule="exact"/>
              <w:jc w:val="center"/>
              <w:rPr>
                <w:rFonts w:ascii="微軟正黑體" w:eastAsia="微軟正黑體" w:hAnsi="微軟正黑體" w:cstheme="minorHAnsi"/>
                <w:sz w:val="20"/>
                <w:szCs w:val="20"/>
              </w:rPr>
            </w:pPr>
            <w:r w:rsidRPr="00DD27FD">
              <w:t>8.27%</w:t>
            </w:r>
          </w:p>
        </w:tc>
        <w:tc>
          <w:tcPr>
            <w:tcW w:w="1666" w:type="dxa"/>
            <w:shd w:val="clear" w:color="auto" w:fill="auto"/>
          </w:tcPr>
          <w:p w14:paraId="07CC291C" w14:textId="77777777" w:rsidR="00815D38" w:rsidRPr="00E97ED0" w:rsidRDefault="00815D38" w:rsidP="00FD33FE">
            <w:pPr>
              <w:spacing w:line="280" w:lineRule="exact"/>
              <w:jc w:val="right"/>
              <w:rPr>
                <w:rFonts w:ascii="微軟正黑體" w:eastAsia="微軟正黑體" w:hAnsi="微軟正黑體" w:cstheme="minorHAnsi"/>
                <w:szCs w:val="24"/>
              </w:rPr>
            </w:pPr>
            <w:r w:rsidRPr="00DD27FD">
              <w:t xml:space="preserve">1,096 </w:t>
            </w:r>
          </w:p>
        </w:tc>
        <w:tc>
          <w:tcPr>
            <w:tcW w:w="1134" w:type="dxa"/>
            <w:shd w:val="clear" w:color="auto" w:fill="auto"/>
          </w:tcPr>
          <w:p w14:paraId="3E51C900" w14:textId="77777777" w:rsidR="00815D38" w:rsidRPr="00E97ED0" w:rsidRDefault="00815D38" w:rsidP="00FD33FE">
            <w:pPr>
              <w:spacing w:line="280" w:lineRule="exact"/>
              <w:jc w:val="center"/>
              <w:rPr>
                <w:rFonts w:eastAsia="微軟正黑體" w:cstheme="minorHAnsi"/>
                <w:szCs w:val="24"/>
              </w:rPr>
            </w:pPr>
          </w:p>
        </w:tc>
      </w:tr>
      <w:tr w:rsidR="00815D38" w:rsidRPr="00E97ED0" w14:paraId="1B7DD77A" w14:textId="77777777" w:rsidTr="00815D38">
        <w:tc>
          <w:tcPr>
            <w:tcW w:w="1119" w:type="dxa"/>
          </w:tcPr>
          <w:p w14:paraId="1C761D9E"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114</w:t>
            </w:r>
          </w:p>
        </w:tc>
        <w:tc>
          <w:tcPr>
            <w:tcW w:w="1665" w:type="dxa"/>
          </w:tcPr>
          <w:p w14:paraId="7A5AFC61" w14:textId="77777777" w:rsidR="00815D38" w:rsidRPr="00E97ED0" w:rsidRDefault="00815D38" w:rsidP="00FD33FE">
            <w:pPr>
              <w:spacing w:line="280" w:lineRule="exact"/>
              <w:jc w:val="right"/>
              <w:rPr>
                <w:rFonts w:eastAsia="微軟正黑體" w:cstheme="minorHAnsi"/>
                <w:szCs w:val="24"/>
              </w:rPr>
            </w:pPr>
            <w:r w:rsidRPr="00DD27FD">
              <w:t xml:space="preserve">1,620 </w:t>
            </w:r>
          </w:p>
        </w:tc>
        <w:tc>
          <w:tcPr>
            <w:tcW w:w="1666" w:type="dxa"/>
          </w:tcPr>
          <w:p w14:paraId="0F91081B" w14:textId="77777777" w:rsidR="00815D38" w:rsidRPr="00CC6A7E" w:rsidRDefault="00815D38" w:rsidP="00FD33FE">
            <w:pPr>
              <w:spacing w:line="280" w:lineRule="exact"/>
              <w:jc w:val="right"/>
              <w:rPr>
                <w:rFonts w:eastAsia="微軟正黑體" w:cstheme="minorHAnsi"/>
                <w:szCs w:val="24"/>
              </w:rPr>
            </w:pPr>
            <w:r w:rsidRPr="00DD27FD">
              <w:t xml:space="preserve">429 </w:t>
            </w:r>
          </w:p>
        </w:tc>
        <w:tc>
          <w:tcPr>
            <w:tcW w:w="1666" w:type="dxa"/>
          </w:tcPr>
          <w:p w14:paraId="49F0B8D1" w14:textId="77777777" w:rsidR="00815D38" w:rsidRPr="00D34ED4" w:rsidRDefault="00815D38" w:rsidP="00FD33FE">
            <w:pPr>
              <w:spacing w:line="280" w:lineRule="exact"/>
              <w:jc w:val="center"/>
              <w:rPr>
                <w:rFonts w:ascii="微軟正黑體" w:eastAsia="微軟正黑體" w:hAnsi="微軟正黑體" w:cstheme="minorHAnsi"/>
                <w:b/>
                <w:sz w:val="22"/>
              </w:rPr>
            </w:pPr>
            <w:r w:rsidRPr="00DD27FD">
              <w:t>26.51%</w:t>
            </w:r>
          </w:p>
        </w:tc>
        <w:tc>
          <w:tcPr>
            <w:tcW w:w="1666" w:type="dxa"/>
            <w:shd w:val="clear" w:color="auto" w:fill="auto"/>
          </w:tcPr>
          <w:p w14:paraId="32EF0EEE" w14:textId="77777777" w:rsidR="00815D38" w:rsidRPr="00E97ED0" w:rsidRDefault="00815D38" w:rsidP="00FD33FE">
            <w:pPr>
              <w:spacing w:line="280" w:lineRule="exact"/>
              <w:jc w:val="right"/>
              <w:rPr>
                <w:rFonts w:ascii="微軟正黑體" w:eastAsia="微軟正黑體" w:hAnsi="微軟正黑體" w:cstheme="minorHAnsi"/>
                <w:szCs w:val="24"/>
              </w:rPr>
            </w:pPr>
            <w:r w:rsidRPr="00DD27FD">
              <w:t xml:space="preserve">1,191 </w:t>
            </w:r>
          </w:p>
        </w:tc>
        <w:tc>
          <w:tcPr>
            <w:tcW w:w="1134" w:type="dxa"/>
            <w:shd w:val="clear" w:color="auto" w:fill="auto"/>
          </w:tcPr>
          <w:p w14:paraId="181C949C" w14:textId="77777777" w:rsidR="00815D38" w:rsidRPr="009A32B8" w:rsidRDefault="00815D38" w:rsidP="00FD33FE">
            <w:pPr>
              <w:spacing w:line="280" w:lineRule="exact"/>
              <w:jc w:val="center"/>
              <w:rPr>
                <w:rFonts w:eastAsia="微軟正黑體" w:cstheme="minorHAnsi"/>
                <w:szCs w:val="24"/>
              </w:rPr>
            </w:pPr>
          </w:p>
        </w:tc>
      </w:tr>
      <w:tr w:rsidR="00815D38" w:rsidRPr="00E97ED0" w14:paraId="7D2856B6" w14:textId="77777777" w:rsidTr="00815D38">
        <w:tc>
          <w:tcPr>
            <w:tcW w:w="1119" w:type="dxa"/>
          </w:tcPr>
          <w:p w14:paraId="45C01CA4" w14:textId="77777777" w:rsidR="00815D38" w:rsidRPr="00E97ED0" w:rsidRDefault="00815D38"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1665" w:type="dxa"/>
          </w:tcPr>
          <w:p w14:paraId="761797B1" w14:textId="77777777" w:rsidR="00815D38" w:rsidRPr="00E97ED0" w:rsidRDefault="00815D38" w:rsidP="00FD33FE">
            <w:pPr>
              <w:spacing w:line="280" w:lineRule="exact"/>
              <w:jc w:val="center"/>
              <w:rPr>
                <w:rFonts w:eastAsia="微軟正黑體" w:cstheme="minorHAnsi"/>
                <w:szCs w:val="24"/>
              </w:rPr>
            </w:pPr>
            <w:r w:rsidRPr="007B2780">
              <w:rPr>
                <w:rFonts w:eastAsia="微軟正黑體" w:cstheme="minorHAnsi"/>
                <w:szCs w:val="24"/>
              </w:rPr>
              <w:t>1,600</w:t>
            </w:r>
          </w:p>
        </w:tc>
        <w:tc>
          <w:tcPr>
            <w:tcW w:w="1666" w:type="dxa"/>
          </w:tcPr>
          <w:p w14:paraId="02235286"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1666" w:type="dxa"/>
          </w:tcPr>
          <w:p w14:paraId="20217D7A"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1666" w:type="dxa"/>
            <w:shd w:val="clear" w:color="auto" w:fill="auto"/>
          </w:tcPr>
          <w:p w14:paraId="3FD77DE6" w14:textId="77777777" w:rsidR="00815D38" w:rsidRPr="00E97ED0" w:rsidRDefault="00815D38" w:rsidP="00FD33FE">
            <w:pPr>
              <w:spacing w:line="280" w:lineRule="exact"/>
              <w:jc w:val="right"/>
              <w:rPr>
                <w:rFonts w:ascii="微軟正黑體" w:eastAsia="微軟正黑體" w:hAnsi="微軟正黑體" w:cstheme="minorHAnsi"/>
                <w:szCs w:val="24"/>
              </w:rPr>
            </w:pPr>
          </w:p>
        </w:tc>
        <w:tc>
          <w:tcPr>
            <w:tcW w:w="1134" w:type="dxa"/>
            <w:shd w:val="clear" w:color="auto" w:fill="auto"/>
          </w:tcPr>
          <w:p w14:paraId="4905C376" w14:textId="77777777" w:rsidR="00815D38" w:rsidRPr="007C5032" w:rsidRDefault="00815D38" w:rsidP="00FD33FE">
            <w:pPr>
              <w:spacing w:line="280" w:lineRule="exact"/>
              <w:jc w:val="right"/>
              <w:rPr>
                <w:rFonts w:ascii="微軟正黑體" w:eastAsia="微軟正黑體" w:hAnsi="微軟正黑體" w:cstheme="minorHAnsi"/>
                <w:sz w:val="16"/>
                <w:szCs w:val="16"/>
              </w:rPr>
            </w:pPr>
          </w:p>
        </w:tc>
      </w:tr>
    </w:tbl>
    <w:p w14:paraId="0F9383F3" w14:textId="77777777" w:rsidR="00815D38" w:rsidRPr="000D58A6" w:rsidRDefault="00815D38" w:rsidP="00815D38">
      <w:pPr>
        <w:pStyle w:val="10"/>
      </w:pPr>
      <w:r w:rsidRPr="000D58A6">
        <w:rPr>
          <w:rFonts w:hint="eastAsia"/>
        </w:rPr>
        <w:t>經查國安會近三年決算書資料如上表，「</w:t>
      </w:r>
      <w:r>
        <w:rPr>
          <w:rFonts w:hint="eastAsia"/>
        </w:rPr>
        <w:t>委辦費</w:t>
      </w:r>
      <w:r w:rsidRPr="000D58A6">
        <w:rPr>
          <w:rFonts w:hint="eastAsia"/>
        </w:rPr>
        <w:t>」近三年平均執行率</w:t>
      </w:r>
      <w:r>
        <w:rPr>
          <w:rFonts w:hint="eastAsia"/>
        </w:rPr>
        <w:t>僅36</w:t>
      </w:r>
      <w:r w:rsidRPr="000D58A6">
        <w:rPr>
          <w:rFonts w:hint="eastAsia"/>
        </w:rPr>
        <w:t>.</w:t>
      </w:r>
      <w:r>
        <w:t>26</w:t>
      </w:r>
      <w:r w:rsidRPr="000D58A6">
        <w:rPr>
          <w:rFonts w:hint="eastAsia"/>
        </w:rPr>
        <w:t>％，剩餘數從</w:t>
      </w:r>
      <w:r>
        <w:rPr>
          <w:rFonts w:hint="eastAsia"/>
        </w:rPr>
        <w:t>299</w:t>
      </w:r>
      <w:r w:rsidRPr="000D58A6">
        <w:rPr>
          <w:rFonts w:hint="eastAsia"/>
        </w:rPr>
        <w:t>千元到</w:t>
      </w:r>
      <w:r>
        <w:rPr>
          <w:rFonts w:hint="eastAsia"/>
        </w:rPr>
        <w:t>1,</w:t>
      </w:r>
      <w:r>
        <w:t>191</w:t>
      </w:r>
      <w:r w:rsidRPr="000D58A6">
        <w:rPr>
          <w:rFonts w:hint="eastAsia"/>
        </w:rPr>
        <w:t>千元之間，顯見，原有經費編列與實際需求之間存有相當落差，致使經費運用效益低落。</w:t>
      </w:r>
    </w:p>
    <w:p w14:paraId="2939B042" w14:textId="77777777" w:rsidR="00815D38" w:rsidRPr="000D58A6" w:rsidRDefault="00815D38" w:rsidP="00815D38">
      <w:pPr>
        <w:pStyle w:val="10"/>
      </w:pPr>
      <w:r w:rsidRPr="000D58A6">
        <w:rPr>
          <w:rFonts w:hint="eastAsia"/>
        </w:rPr>
        <w:t>然，115年中央政府總預算連同特別預算，已需舉債高達4千億元。政府各單位更應量入為出、撙節公帑，減列非必要、非急迫性的支出，以降低國庫舉債、債留子孫的壓力。</w:t>
      </w:r>
    </w:p>
    <w:p w14:paraId="252BA98C" w14:textId="77777777" w:rsidR="00815D38" w:rsidRPr="000D58A6" w:rsidRDefault="00815D38" w:rsidP="00815D38">
      <w:pPr>
        <w:pStyle w:val="10"/>
      </w:pPr>
      <w:r w:rsidRPr="000D58A6">
        <w:rPr>
          <w:rFonts w:hint="eastAsia"/>
        </w:rPr>
        <w:t>且，賴總統為回應美國對台灣應大幅增加國防支出的強硬立場與關切壓力，115年度國防支出已創下歷史新高，達9495億新台幣；大舉增加國防支出，必定會嚴重排擠年度的教育、文化等支出，亦即，各部會應勒緊褲帶，共體時艱、以撙節支出的具體行動，來呼應賴總統對美方要求大幅增加國防支出的承諾。</w:t>
      </w:r>
    </w:p>
    <w:p w14:paraId="375351BC" w14:textId="171423F9" w:rsidR="00890645" w:rsidRPr="00890645" w:rsidRDefault="00815D38" w:rsidP="00815D38">
      <w:pPr>
        <w:pStyle w:val="10"/>
      </w:pPr>
      <w:r w:rsidRPr="000D58A6">
        <w:rPr>
          <w:rFonts w:hint="eastAsia"/>
        </w:rPr>
        <w:t>惟國安會115年度預算案仍編列「</w:t>
      </w:r>
      <w:r>
        <w:rPr>
          <w:rFonts w:hint="eastAsia"/>
        </w:rPr>
        <w:t>委辦費</w:t>
      </w:r>
      <w:r w:rsidRPr="000D58A6">
        <w:rPr>
          <w:rFonts w:hint="eastAsia"/>
        </w:rPr>
        <w:t>」</w:t>
      </w:r>
      <w:r>
        <w:rPr>
          <w:rFonts w:hint="eastAsia"/>
        </w:rPr>
        <w:t>1</w:t>
      </w:r>
      <w:r w:rsidRPr="000D58A6">
        <w:rPr>
          <w:rFonts w:hint="eastAsia"/>
        </w:rPr>
        <w:t>,</w:t>
      </w:r>
      <w:r>
        <w:t>600</w:t>
      </w:r>
      <w:r w:rsidRPr="000D58A6">
        <w:rPr>
          <w:rFonts w:hint="eastAsia"/>
        </w:rPr>
        <w:t>千元，與114年法定預算相比，</w:t>
      </w:r>
      <w:r>
        <w:rPr>
          <w:rFonts w:hint="eastAsia"/>
        </w:rPr>
        <w:t>減</w:t>
      </w:r>
      <w:r w:rsidRPr="000D58A6">
        <w:rPr>
          <w:rFonts w:hint="eastAsia"/>
        </w:rPr>
        <w:t>列</w:t>
      </w:r>
      <w:r>
        <w:rPr>
          <w:rFonts w:hint="eastAsia"/>
        </w:rPr>
        <w:t>20</w:t>
      </w:r>
      <w:r w:rsidRPr="000D58A6">
        <w:rPr>
          <w:rFonts w:hint="eastAsia"/>
        </w:rPr>
        <w:t>千元。為兌現賴總統對美方的承諾，且為配合國防支出大幅增加之影響而必須撙節經費，爰提案減列</w:t>
      </w:r>
      <w:r>
        <w:rPr>
          <w:rFonts w:hint="eastAsia"/>
        </w:rPr>
        <w:t>110</w:t>
      </w:r>
      <w:r w:rsidRPr="000D58A6">
        <w:rPr>
          <w:rFonts w:hint="eastAsia"/>
        </w:rPr>
        <w:t>萬元整（以</w:t>
      </w:r>
      <w:r>
        <w:rPr>
          <w:rFonts w:hint="eastAsia"/>
        </w:rPr>
        <w:t>執行率3成</w:t>
      </w:r>
      <w:r w:rsidRPr="000D58A6">
        <w:rPr>
          <w:rFonts w:hint="eastAsia"/>
        </w:rPr>
        <w:t>計算）且不得流用勻支，以避免有限之財政資源閒置與浪費。</w:t>
      </w:r>
      <w:r w:rsidR="00890645" w:rsidRPr="00890645">
        <w:t>【</w:t>
      </w:r>
      <w:r>
        <w:rPr>
          <w:rFonts w:hint="eastAsia"/>
        </w:rPr>
        <w:t>34</w:t>
      </w:r>
      <w:r w:rsidR="00890645" w:rsidRPr="00890645">
        <w:t>】</w:t>
      </w:r>
    </w:p>
    <w:p w14:paraId="12736367" w14:textId="77777777" w:rsidR="00890645" w:rsidRPr="00890645" w:rsidRDefault="00890645" w:rsidP="00815D38">
      <w:pPr>
        <w:pStyle w:val="21"/>
      </w:pPr>
      <w:r w:rsidRPr="00890645">
        <w:t>提案人：翁曉玲</w:t>
      </w:r>
    </w:p>
    <w:p w14:paraId="6FB9328B" w14:textId="77777777" w:rsidR="00890645" w:rsidRPr="00890645" w:rsidRDefault="00890645" w:rsidP="00815D38">
      <w:pPr>
        <w:pStyle w:val="21"/>
      </w:pPr>
      <w:r w:rsidRPr="00890645">
        <w:t>連署人：許宇甄　林倩綺</w:t>
      </w:r>
    </w:p>
    <w:p w14:paraId="1297D0F8" w14:textId="77777777" w:rsidR="00C433A1" w:rsidRPr="00F34348" w:rsidRDefault="00C433A1" w:rsidP="00C433A1">
      <w:pPr>
        <w:pStyle w:val="1"/>
      </w:pPr>
      <w:r w:rsidRPr="00F34348">
        <w:rPr>
          <w:rFonts w:hint="eastAsia"/>
        </w:rPr>
        <w:t>115年度</w:t>
      </w:r>
      <w:r>
        <w:rPr>
          <w:rFonts w:hint="eastAsia"/>
        </w:rPr>
        <w:t>國家安全會議</w:t>
      </w:r>
      <w:r w:rsidRPr="00F34348">
        <w:rPr>
          <w:rFonts w:hint="eastAsia"/>
        </w:rPr>
        <w:t>預算案於第1目「一般行政」項下「基本行政工作維持」中「業務費」之「特別費」，</w:t>
      </w:r>
      <w:r>
        <w:rPr>
          <w:rFonts w:hint="eastAsia"/>
        </w:rPr>
        <w:t>係</w:t>
      </w:r>
      <w:r w:rsidRPr="00A51F4B">
        <w:rPr>
          <w:rFonts w:hint="eastAsia"/>
        </w:rPr>
        <w:t>秘書長、副秘書長</w:t>
      </w:r>
      <w:r>
        <w:rPr>
          <w:rFonts w:hint="eastAsia"/>
        </w:rPr>
        <w:t>之</w:t>
      </w:r>
      <w:r w:rsidRPr="00A51F4B">
        <w:rPr>
          <w:rFonts w:hint="eastAsia"/>
        </w:rPr>
        <w:t>特別費1,179千元。</w:t>
      </w:r>
    </w:p>
    <w:p w14:paraId="65387822" w14:textId="77777777" w:rsidR="00C433A1" w:rsidRPr="00C433A1" w:rsidRDefault="00C433A1" w:rsidP="00C433A1">
      <w:pPr>
        <w:pStyle w:val="10"/>
        <w:ind w:firstLine="561"/>
        <w:rPr>
          <w:b/>
        </w:rPr>
      </w:pPr>
      <w:r w:rsidRPr="00C433A1">
        <w:rPr>
          <w:rFonts w:hint="eastAsia"/>
          <w:b/>
        </w:rPr>
        <w:t>依照行政院</w:t>
      </w:r>
      <w:r w:rsidRPr="00C433A1">
        <w:rPr>
          <w:b/>
        </w:rPr>
        <w:t>95</w:t>
      </w:r>
      <w:r w:rsidRPr="00C433A1">
        <w:rPr>
          <w:rFonts w:hint="eastAsia"/>
          <w:b/>
        </w:rPr>
        <w:t>年</w:t>
      </w:r>
      <w:r w:rsidRPr="00C433A1">
        <w:rPr>
          <w:b/>
        </w:rPr>
        <w:t>12</w:t>
      </w:r>
      <w:r w:rsidRPr="00C433A1">
        <w:rPr>
          <w:rFonts w:hint="eastAsia"/>
          <w:b/>
        </w:rPr>
        <w:t>月</w:t>
      </w:r>
      <w:r w:rsidRPr="00C433A1">
        <w:rPr>
          <w:b/>
        </w:rPr>
        <w:t>29</w:t>
      </w:r>
      <w:r w:rsidRPr="00C433A1">
        <w:rPr>
          <w:rFonts w:hint="eastAsia"/>
          <w:b/>
        </w:rPr>
        <w:t>日院授主忠字第</w:t>
      </w:r>
      <w:r w:rsidRPr="00C433A1">
        <w:rPr>
          <w:b/>
        </w:rPr>
        <w:t>0950007913</w:t>
      </w:r>
      <w:r w:rsidRPr="00C433A1">
        <w:rPr>
          <w:rFonts w:hint="eastAsia"/>
          <w:b/>
        </w:rPr>
        <w:t>號函，各級政府機關特別費支用規定所訂定之特別費使用範圍，</w:t>
      </w:r>
      <w:r w:rsidRPr="00C433A1">
        <w:rPr>
          <w:rFonts w:hint="eastAsia"/>
          <w:b/>
        </w:rPr>
        <w:lastRenderedPageBreak/>
        <w:t>係婚喪喜慶之禮金及招待、餽（捐）贈及慰問等支出。恐非屬各項施政計畫執行之必要項目。</w:t>
      </w:r>
    </w:p>
    <w:p w14:paraId="4265997A" w14:textId="77777777" w:rsidR="00C433A1" w:rsidRPr="00F34348" w:rsidRDefault="00C433A1" w:rsidP="00C433A1">
      <w:pPr>
        <w:pStyle w:val="10"/>
      </w:pPr>
      <w:r w:rsidRPr="00F34348">
        <w:rPr>
          <w:rFonts w:hint="eastAsia"/>
        </w:rPr>
        <w:t>然，115年中央政府總預算連同特別預算，已需舉債高達4千億元。政府各單位更應量入為出、撙節公帑，減列非必要、非急迫性的支出，以降低國庫舉債、債留子孫的壓力。</w:t>
      </w:r>
    </w:p>
    <w:p w14:paraId="4EBDB117" w14:textId="572FE38F" w:rsidR="00C433A1" w:rsidRPr="00F34348" w:rsidRDefault="00C433A1" w:rsidP="00C433A1">
      <w:pPr>
        <w:pStyle w:val="10"/>
      </w:pPr>
      <w:r w:rsidRPr="00F34348">
        <w:rPr>
          <w:rFonts w:hint="eastAsia"/>
        </w:rPr>
        <w:t>且，賴總統為回應美國對台灣應大幅增加國防支出的強硬立場與關切壓力，115</w:t>
      </w:r>
      <w:r w:rsidR="002318B2">
        <w:rPr>
          <w:rFonts w:hint="eastAsia"/>
        </w:rPr>
        <w:t>年度國防支出已創下歷史新高</w:t>
      </w:r>
      <w:r w:rsidR="00E16AC1">
        <w:rPr>
          <w:rFonts w:hint="eastAsia"/>
        </w:rPr>
        <w:t>，</w:t>
      </w:r>
      <w:r w:rsidRPr="00F34348">
        <w:rPr>
          <w:rFonts w:hint="eastAsia"/>
        </w:rPr>
        <w:t>達9,495</w:t>
      </w:r>
      <w:r w:rsidR="002318B2">
        <w:rPr>
          <w:rFonts w:hint="eastAsia"/>
        </w:rPr>
        <w:t>億新台幣</w:t>
      </w:r>
      <w:r w:rsidR="00E16AC1">
        <w:rPr>
          <w:rFonts w:hint="eastAsia"/>
        </w:rPr>
        <w:t>，</w:t>
      </w:r>
      <w:r w:rsidRPr="00F34348">
        <w:rPr>
          <w:rFonts w:hint="eastAsia"/>
        </w:rPr>
        <w:t>較去年度相比暴增1,768</w:t>
      </w:r>
      <w:r w:rsidR="002318B2">
        <w:rPr>
          <w:rFonts w:hint="eastAsia"/>
        </w:rPr>
        <w:t>億</w:t>
      </w:r>
      <w:r w:rsidR="00E16AC1">
        <w:rPr>
          <w:rFonts w:hint="eastAsia"/>
        </w:rPr>
        <w:t>，</w:t>
      </w:r>
      <w:r w:rsidRPr="00F34348">
        <w:rPr>
          <w:rFonts w:hint="eastAsia"/>
        </w:rPr>
        <w:t>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14:paraId="2ED4ED51" w14:textId="5E3F9C0A" w:rsidR="00890645" w:rsidRPr="00890645" w:rsidRDefault="00C433A1" w:rsidP="00C433A1">
      <w:pPr>
        <w:pStyle w:val="10"/>
      </w:pPr>
      <w:r w:rsidRPr="00F34348">
        <w:rPr>
          <w:rFonts w:hint="eastAsia"/>
        </w:rPr>
        <w:t>有鑑於</w:t>
      </w:r>
      <w:r>
        <w:rPr>
          <w:rFonts w:hint="eastAsia"/>
        </w:rPr>
        <w:t>國家安全會議</w:t>
      </w:r>
      <w:r w:rsidRPr="00F34348">
        <w:rPr>
          <w:rFonts w:hint="eastAsia"/>
        </w:rPr>
        <w:t>所</w:t>
      </w:r>
      <w:r>
        <w:rPr>
          <w:rFonts w:hint="eastAsia"/>
        </w:rPr>
        <w:t>編列之</w:t>
      </w:r>
      <w:r w:rsidRPr="00F34348">
        <w:rPr>
          <w:rFonts w:hint="eastAsia"/>
        </w:rPr>
        <w:t>「特別費」</w:t>
      </w:r>
      <w:r>
        <w:rPr>
          <w:rFonts w:hint="eastAsia"/>
        </w:rPr>
        <w:t>預算</w:t>
      </w:r>
      <w:r w:rsidRPr="00F34348">
        <w:rPr>
          <w:rFonts w:hint="eastAsia"/>
        </w:rPr>
        <w:t>，係婚喪喜慶之禮金及招待、餽（捐）贈及慰問等支出，非屬各項施政計畫執行之必要項目。為兌現賴總統對美方的承諾，且配合國防支出大幅增加之影響而必須撙節經費，爰提案減列九成共計</w:t>
      </w:r>
      <w:r>
        <w:rPr>
          <w:rFonts w:hint="eastAsia"/>
        </w:rPr>
        <w:t>106</w:t>
      </w:r>
      <w:r w:rsidRPr="00F34348">
        <w:rPr>
          <w:rFonts w:hint="eastAsia"/>
        </w:rPr>
        <w:t>萬元整，且不得流用勻支，以將有限之財政資源集中，支援必須擴增的國防經費支出。</w:t>
      </w:r>
      <w:r w:rsidR="00890645" w:rsidRPr="00890645">
        <w:t>【</w:t>
      </w:r>
      <w:r>
        <w:rPr>
          <w:rFonts w:hint="eastAsia"/>
        </w:rPr>
        <w:t>37</w:t>
      </w:r>
      <w:r w:rsidR="00890645" w:rsidRPr="00890645">
        <w:t>】</w:t>
      </w:r>
    </w:p>
    <w:p w14:paraId="39A108C7" w14:textId="77777777" w:rsidR="00890645" w:rsidRPr="00890645" w:rsidRDefault="00890645" w:rsidP="00C433A1">
      <w:pPr>
        <w:pStyle w:val="21"/>
      </w:pPr>
      <w:r w:rsidRPr="00890645">
        <w:t>提案人：翁曉玲</w:t>
      </w:r>
    </w:p>
    <w:p w14:paraId="71DA97A7" w14:textId="77777777" w:rsidR="00890645" w:rsidRPr="00890645" w:rsidRDefault="00890645" w:rsidP="00C433A1">
      <w:pPr>
        <w:pStyle w:val="21"/>
      </w:pPr>
      <w:r w:rsidRPr="00890645">
        <w:t>連署人：許宇甄　林倩綺</w:t>
      </w:r>
    </w:p>
    <w:p w14:paraId="760B8892" w14:textId="77777777" w:rsidR="00C433A1" w:rsidRPr="00E97ED0" w:rsidRDefault="00C433A1" w:rsidP="00C433A1">
      <w:pPr>
        <w:pStyle w:val="1"/>
      </w:pPr>
      <w:r w:rsidRPr="00E97ED0">
        <w:rPr>
          <w:rFonts w:hint="eastAsia"/>
        </w:rPr>
        <w:t>國家安全會議(以下簡稱國安會)115年度預算案</w:t>
      </w:r>
      <w:r w:rsidRPr="00E97ED0">
        <w:t>編列246,631千元，比114年度法定預算223,589千元，增加23,042千元（</w:t>
      </w:r>
      <w:r w:rsidRPr="00E97ED0">
        <w:rPr>
          <w:rFonts w:hint="eastAsia"/>
        </w:rPr>
        <w:t>逾2千3百萬元</w:t>
      </w:r>
      <w:r w:rsidRPr="00E97ED0">
        <w:t>），成長幅度</w:t>
      </w:r>
      <w:r w:rsidRPr="00E97ED0">
        <w:rPr>
          <w:rFonts w:hint="eastAsia"/>
        </w:rPr>
        <w:t>1</w:t>
      </w:r>
      <w:r w:rsidRPr="00E97ED0">
        <w:t>0.31%。</w:t>
      </w:r>
    </w:p>
    <w:p w14:paraId="33833CF4" w14:textId="77777777" w:rsidR="00C433A1" w:rsidRDefault="00C433A1" w:rsidP="00F73480">
      <w:pPr>
        <w:pStyle w:val="10"/>
      </w:pPr>
      <w:r w:rsidRPr="00E97ED0">
        <w:rPr>
          <w:rFonts w:hint="eastAsia"/>
        </w:rPr>
        <w:t>國安會115年「</w:t>
      </w:r>
      <w:r>
        <w:rPr>
          <w:rFonts w:hint="eastAsia"/>
        </w:rPr>
        <w:t>國外旅費</w:t>
      </w:r>
      <w:r w:rsidRPr="00E97ED0">
        <w:rPr>
          <w:rFonts w:hint="eastAsia"/>
        </w:rPr>
        <w:t>」編列預算</w:t>
      </w:r>
      <w:r w:rsidRPr="00FC7905">
        <w:t>20,031</w:t>
      </w:r>
      <w:r w:rsidRPr="005B2C89">
        <w:rPr>
          <w:rFonts w:hint="eastAsia"/>
        </w:rPr>
        <w:t>千</w:t>
      </w:r>
      <w:r w:rsidRPr="00E97ED0">
        <w:rPr>
          <w:rFonts w:hint="eastAsia"/>
        </w:rPr>
        <w:t>元，較114年度預算數</w:t>
      </w:r>
      <w:r w:rsidRPr="00FC7905">
        <w:t>7,718</w:t>
      </w:r>
      <w:r w:rsidRPr="00E97ED0">
        <w:rPr>
          <w:rFonts w:hint="eastAsia"/>
        </w:rPr>
        <w:t>千元</w:t>
      </w:r>
      <w:r>
        <w:rPr>
          <w:rFonts w:hint="eastAsia"/>
        </w:rPr>
        <w:t>，</w:t>
      </w:r>
      <w:bookmarkStart w:id="45" w:name="_Hlk230076960"/>
      <w:bookmarkStart w:id="46" w:name="_Hlk230079944"/>
      <w:r w:rsidRPr="00E97ED0">
        <w:rPr>
          <w:rFonts w:hint="eastAsia"/>
        </w:rPr>
        <w:t>增</w:t>
      </w:r>
      <w:r>
        <w:rPr>
          <w:rFonts w:hint="eastAsia"/>
        </w:rPr>
        <w:t>列</w:t>
      </w:r>
      <w:r w:rsidRPr="00FC7905">
        <w:t>12,313</w:t>
      </w:r>
      <w:r w:rsidRPr="00E97ED0">
        <w:rPr>
          <w:rFonts w:hint="eastAsia"/>
        </w:rPr>
        <w:t>千元</w:t>
      </w:r>
      <w:r>
        <w:rPr>
          <w:rFonts w:hint="eastAsia"/>
        </w:rPr>
        <w:t>（1</w:t>
      </w:r>
      <w:r>
        <w:t>,231</w:t>
      </w:r>
      <w:r>
        <w:rPr>
          <w:rFonts w:hint="eastAsia"/>
        </w:rPr>
        <w:t>萬元），增加幅度高達</w:t>
      </w:r>
      <w:r w:rsidRPr="00FC7905">
        <w:t>159.54%</w:t>
      </w:r>
      <w:r>
        <w:rPr>
          <w:rFonts w:hint="eastAsia"/>
        </w:rPr>
        <w:t>，也就是原來的1</w:t>
      </w:r>
      <w:r>
        <w:t>.6</w:t>
      </w:r>
      <w:r>
        <w:rPr>
          <w:rFonts w:hint="eastAsia"/>
        </w:rPr>
        <w:t>倍</w:t>
      </w:r>
      <w:bookmarkEnd w:id="45"/>
      <w:r>
        <w:rPr>
          <w:rFonts w:hint="eastAsia"/>
        </w:rPr>
        <w:t>！</w:t>
      </w:r>
      <w:bookmarkEnd w:id="46"/>
    </w:p>
    <w:tbl>
      <w:tblPr>
        <w:tblpPr w:leftFromText="180" w:rightFromText="180" w:vertAnchor="text" w:horzAnchor="margin" w:tblpY="194"/>
        <w:tblW w:w="90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992"/>
        <w:gridCol w:w="992"/>
        <w:gridCol w:w="993"/>
        <w:gridCol w:w="1417"/>
        <w:gridCol w:w="3827"/>
      </w:tblGrid>
      <w:tr w:rsidR="00C433A1" w:rsidRPr="00E97ED0" w14:paraId="6B24DE5A" w14:textId="77777777" w:rsidTr="00F73480">
        <w:trPr>
          <w:tblHeader/>
        </w:trPr>
        <w:tc>
          <w:tcPr>
            <w:tcW w:w="9057" w:type="dxa"/>
            <w:gridSpan w:val="6"/>
          </w:tcPr>
          <w:p w14:paraId="4CC6367B" w14:textId="77777777" w:rsidR="00C433A1" w:rsidRPr="00E97ED0" w:rsidRDefault="00C433A1" w:rsidP="00FD33FE">
            <w:pPr>
              <w:spacing w:line="280" w:lineRule="exact"/>
              <w:jc w:val="center"/>
              <w:rPr>
                <w:rFonts w:ascii="微軟正黑體" w:eastAsia="微軟正黑體" w:hAnsi="微軟正黑體" w:cstheme="minorHAnsi"/>
                <w:b/>
                <w:bCs/>
                <w:szCs w:val="24"/>
              </w:rPr>
            </w:pPr>
            <w:bookmarkStart w:id="47" w:name="_Hlk230079304"/>
            <w:r>
              <w:rPr>
                <w:rFonts w:ascii="微軟正黑體" w:eastAsia="微軟正黑體" w:hAnsi="微軟正黑體" w:cstheme="minorHAnsi" w:hint="eastAsia"/>
                <w:b/>
                <w:bCs/>
                <w:szCs w:val="24"/>
              </w:rPr>
              <w:t xml:space="preserve">國外旅費       </w:t>
            </w:r>
            <w:r w:rsidRPr="00BA4CCB">
              <w:rPr>
                <w:rFonts w:ascii="微軟正黑體" w:eastAsia="微軟正黑體" w:hAnsi="微軟正黑體" w:cstheme="minorHAnsi" w:hint="eastAsia"/>
                <w:b/>
                <w:bCs/>
                <w:sz w:val="20"/>
                <w:szCs w:val="20"/>
              </w:rPr>
              <w:t>單位</w:t>
            </w:r>
            <w:r>
              <w:rPr>
                <w:rFonts w:ascii="微軟正黑體" w:eastAsia="微軟正黑體" w:hAnsi="微軟正黑體" w:cstheme="minorHAnsi" w:hint="eastAsia"/>
                <w:b/>
                <w:bCs/>
                <w:sz w:val="20"/>
                <w:szCs w:val="20"/>
              </w:rPr>
              <w:t>：</w:t>
            </w:r>
            <w:r w:rsidRPr="00BA4CCB">
              <w:rPr>
                <w:rFonts w:ascii="微軟正黑體" w:eastAsia="微軟正黑體" w:hAnsi="微軟正黑體" w:cstheme="minorHAnsi" w:hint="eastAsia"/>
                <w:b/>
                <w:bCs/>
                <w:sz w:val="20"/>
                <w:szCs w:val="20"/>
              </w:rPr>
              <w:t>千元</w:t>
            </w:r>
          </w:p>
        </w:tc>
      </w:tr>
      <w:tr w:rsidR="00F73480" w:rsidRPr="00E97ED0" w14:paraId="0B7001B7" w14:textId="77777777" w:rsidTr="00F73480">
        <w:trPr>
          <w:tblHeader/>
        </w:trPr>
        <w:tc>
          <w:tcPr>
            <w:tcW w:w="836" w:type="dxa"/>
          </w:tcPr>
          <w:p w14:paraId="00732274"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cstheme="minorHAnsi" w:hint="eastAsia"/>
                <w:b/>
                <w:sz w:val="20"/>
                <w:szCs w:val="20"/>
              </w:rPr>
              <w:t>年度</w:t>
            </w:r>
          </w:p>
        </w:tc>
        <w:tc>
          <w:tcPr>
            <w:tcW w:w="992" w:type="dxa"/>
          </w:tcPr>
          <w:p w14:paraId="5BFD6413"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預算數</w:t>
            </w:r>
          </w:p>
        </w:tc>
        <w:tc>
          <w:tcPr>
            <w:tcW w:w="992" w:type="dxa"/>
          </w:tcPr>
          <w:p w14:paraId="22F525FD"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決算數</w:t>
            </w:r>
          </w:p>
        </w:tc>
        <w:tc>
          <w:tcPr>
            <w:tcW w:w="993" w:type="dxa"/>
          </w:tcPr>
          <w:p w14:paraId="31BF2E3B"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執行率</w:t>
            </w:r>
          </w:p>
        </w:tc>
        <w:tc>
          <w:tcPr>
            <w:tcW w:w="1417" w:type="dxa"/>
            <w:shd w:val="clear" w:color="auto" w:fill="auto"/>
            <w:vAlign w:val="center"/>
          </w:tcPr>
          <w:p w14:paraId="0E5D66AD"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cstheme="minorHAnsi" w:hint="eastAsia"/>
                <w:b/>
                <w:sz w:val="20"/>
                <w:szCs w:val="20"/>
              </w:rPr>
              <w:t>剩餘數/千元</w:t>
            </w:r>
          </w:p>
        </w:tc>
        <w:tc>
          <w:tcPr>
            <w:tcW w:w="3827" w:type="dxa"/>
            <w:shd w:val="clear" w:color="auto" w:fill="auto"/>
            <w:vAlign w:val="center"/>
          </w:tcPr>
          <w:p w14:paraId="3038BB23"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cstheme="minorHAnsi" w:hint="eastAsia"/>
                <w:b/>
                <w:sz w:val="20"/>
                <w:szCs w:val="20"/>
              </w:rPr>
              <w:t>備註</w:t>
            </w:r>
          </w:p>
        </w:tc>
      </w:tr>
      <w:tr w:rsidR="00F73480" w:rsidRPr="00E97ED0" w14:paraId="70F557F1" w14:textId="77777777" w:rsidTr="00F73480">
        <w:tc>
          <w:tcPr>
            <w:tcW w:w="836" w:type="dxa"/>
          </w:tcPr>
          <w:p w14:paraId="62FE6E58" w14:textId="77777777" w:rsidR="00C433A1" w:rsidRPr="00E97ED0" w:rsidRDefault="00C433A1"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112</w:t>
            </w:r>
          </w:p>
        </w:tc>
        <w:tc>
          <w:tcPr>
            <w:tcW w:w="992" w:type="dxa"/>
          </w:tcPr>
          <w:p w14:paraId="55DC0DE5" w14:textId="77777777" w:rsidR="00C433A1" w:rsidRPr="00E97ED0" w:rsidRDefault="00C433A1" w:rsidP="00FD33FE">
            <w:pPr>
              <w:spacing w:line="280" w:lineRule="exact"/>
              <w:jc w:val="right"/>
              <w:rPr>
                <w:rFonts w:eastAsia="微軟正黑體" w:cstheme="minorHAnsi"/>
                <w:szCs w:val="24"/>
              </w:rPr>
            </w:pPr>
            <w:r w:rsidRPr="00274DA8">
              <w:t xml:space="preserve">7,715 </w:t>
            </w:r>
          </w:p>
        </w:tc>
        <w:tc>
          <w:tcPr>
            <w:tcW w:w="992" w:type="dxa"/>
          </w:tcPr>
          <w:p w14:paraId="760DE18E" w14:textId="77777777" w:rsidR="00C433A1" w:rsidRPr="00D34ED4" w:rsidRDefault="00C433A1" w:rsidP="00FD33FE">
            <w:pPr>
              <w:spacing w:line="280" w:lineRule="exact"/>
              <w:jc w:val="right"/>
              <w:rPr>
                <w:rFonts w:ascii="微軟正黑體" w:eastAsia="微軟正黑體" w:hAnsi="微軟正黑體" w:cstheme="minorHAnsi"/>
                <w:b/>
                <w:szCs w:val="24"/>
              </w:rPr>
            </w:pPr>
            <w:r w:rsidRPr="00274DA8">
              <w:t xml:space="preserve">9,444 </w:t>
            </w:r>
          </w:p>
        </w:tc>
        <w:tc>
          <w:tcPr>
            <w:tcW w:w="993" w:type="dxa"/>
          </w:tcPr>
          <w:p w14:paraId="0D92FCD9" w14:textId="77777777" w:rsidR="00C433A1" w:rsidRPr="005D00F1" w:rsidRDefault="00C433A1" w:rsidP="00FD33FE">
            <w:pPr>
              <w:spacing w:line="280" w:lineRule="exact"/>
              <w:jc w:val="right"/>
              <w:rPr>
                <w:rFonts w:ascii="微軟正黑體" w:eastAsia="微軟正黑體" w:hAnsi="微軟正黑體" w:cstheme="minorHAnsi"/>
                <w:b/>
                <w:sz w:val="20"/>
                <w:szCs w:val="20"/>
              </w:rPr>
            </w:pPr>
            <w:r w:rsidRPr="00274DA8">
              <w:t>122.41%</w:t>
            </w:r>
          </w:p>
        </w:tc>
        <w:tc>
          <w:tcPr>
            <w:tcW w:w="1417" w:type="dxa"/>
            <w:shd w:val="clear" w:color="auto" w:fill="auto"/>
          </w:tcPr>
          <w:p w14:paraId="5AFAD8D6" w14:textId="77777777" w:rsidR="00C433A1" w:rsidRPr="00E97ED0" w:rsidRDefault="00C433A1" w:rsidP="00FD33FE">
            <w:pPr>
              <w:spacing w:line="280" w:lineRule="exact"/>
              <w:jc w:val="right"/>
              <w:rPr>
                <w:rFonts w:ascii="微軟正黑體" w:eastAsia="微軟正黑體" w:hAnsi="微軟正黑體" w:cstheme="minorHAnsi"/>
                <w:szCs w:val="24"/>
              </w:rPr>
            </w:pPr>
            <w:r>
              <w:t>(</w:t>
            </w:r>
            <w:r w:rsidRPr="00274DA8">
              <w:t>1,729</w:t>
            </w:r>
            <w:r>
              <w:t>)</w:t>
            </w:r>
            <w:r w:rsidRPr="00274DA8">
              <w:t xml:space="preserve"> </w:t>
            </w:r>
          </w:p>
        </w:tc>
        <w:tc>
          <w:tcPr>
            <w:tcW w:w="3827" w:type="dxa"/>
            <w:shd w:val="clear" w:color="auto" w:fill="auto"/>
          </w:tcPr>
          <w:p w14:paraId="645D78EF" w14:textId="77777777" w:rsidR="00C433A1" w:rsidRPr="00E97ED0" w:rsidRDefault="00C433A1" w:rsidP="00FD33FE">
            <w:pPr>
              <w:spacing w:line="280" w:lineRule="exact"/>
              <w:jc w:val="center"/>
              <w:rPr>
                <w:rFonts w:eastAsia="微軟正黑體" w:cstheme="minorHAnsi"/>
                <w:szCs w:val="24"/>
              </w:rPr>
            </w:pPr>
            <w:r w:rsidRPr="00E56D9D">
              <w:rPr>
                <w:rFonts w:eastAsia="微軟正黑體" w:cstheme="minorHAnsi" w:hint="eastAsia"/>
                <w:szCs w:val="24"/>
              </w:rPr>
              <w:t>2</w:t>
            </w:r>
            <w:r>
              <w:rPr>
                <w:rFonts w:eastAsia="微軟正黑體" w:cstheme="minorHAnsi"/>
                <w:szCs w:val="24"/>
              </w:rPr>
              <w:t>3</w:t>
            </w:r>
            <w:r w:rsidRPr="00E56D9D">
              <w:rPr>
                <w:rFonts w:eastAsia="微軟正黑體" w:cstheme="minorHAnsi" w:hint="eastAsia"/>
                <w:szCs w:val="24"/>
              </w:rPr>
              <w:t>項計畫、</w:t>
            </w:r>
            <w:r w:rsidRPr="00E56D9D">
              <w:rPr>
                <w:rFonts w:eastAsia="微軟正黑體" w:cstheme="minorHAnsi" w:hint="eastAsia"/>
                <w:szCs w:val="24"/>
              </w:rPr>
              <w:t>3</w:t>
            </w:r>
            <w:r>
              <w:rPr>
                <w:rFonts w:eastAsia="微軟正黑體" w:cstheme="minorHAnsi"/>
                <w:szCs w:val="24"/>
              </w:rPr>
              <w:t>82</w:t>
            </w:r>
            <w:r>
              <w:rPr>
                <w:rFonts w:eastAsia="微軟正黑體" w:cstheme="minorHAnsi" w:hint="eastAsia"/>
                <w:szCs w:val="24"/>
              </w:rPr>
              <w:t>人</w:t>
            </w:r>
            <w:r w:rsidRPr="00E56D9D">
              <w:rPr>
                <w:rFonts w:eastAsia="微軟正黑體" w:cstheme="minorHAnsi" w:hint="eastAsia"/>
                <w:szCs w:val="24"/>
              </w:rPr>
              <w:t>天、</w:t>
            </w:r>
            <w:r w:rsidRPr="00E56D9D">
              <w:rPr>
                <w:rFonts w:eastAsia="微軟正黑體" w:cstheme="minorHAnsi" w:hint="eastAsia"/>
                <w:szCs w:val="24"/>
              </w:rPr>
              <w:t>7,033</w:t>
            </w:r>
            <w:r w:rsidRPr="00E56D9D">
              <w:rPr>
                <w:rFonts w:eastAsia="微軟正黑體" w:cstheme="minorHAnsi" w:hint="eastAsia"/>
                <w:szCs w:val="24"/>
              </w:rPr>
              <w:t>千元</w:t>
            </w:r>
          </w:p>
        </w:tc>
      </w:tr>
      <w:tr w:rsidR="00F73480" w:rsidRPr="00E97ED0" w14:paraId="396A17BB" w14:textId="77777777" w:rsidTr="00F73480">
        <w:tc>
          <w:tcPr>
            <w:tcW w:w="836" w:type="dxa"/>
          </w:tcPr>
          <w:p w14:paraId="0F3BA0B4" w14:textId="77777777" w:rsidR="00C433A1" w:rsidRPr="00E97ED0" w:rsidRDefault="00C433A1"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113</w:t>
            </w:r>
          </w:p>
        </w:tc>
        <w:tc>
          <w:tcPr>
            <w:tcW w:w="992" w:type="dxa"/>
          </w:tcPr>
          <w:p w14:paraId="7D90DF72" w14:textId="77777777" w:rsidR="00C433A1" w:rsidRPr="00E97ED0" w:rsidRDefault="00C433A1" w:rsidP="00FD33FE">
            <w:pPr>
              <w:spacing w:line="280" w:lineRule="exact"/>
              <w:jc w:val="right"/>
              <w:rPr>
                <w:rFonts w:eastAsia="微軟正黑體" w:cstheme="minorHAnsi"/>
                <w:szCs w:val="24"/>
              </w:rPr>
            </w:pPr>
            <w:r w:rsidRPr="00274DA8">
              <w:t xml:space="preserve">7,033 </w:t>
            </w:r>
          </w:p>
        </w:tc>
        <w:tc>
          <w:tcPr>
            <w:tcW w:w="992" w:type="dxa"/>
          </w:tcPr>
          <w:p w14:paraId="39D91240" w14:textId="77777777" w:rsidR="00C433A1" w:rsidRPr="00E97ED0" w:rsidRDefault="00C433A1" w:rsidP="00FD33FE">
            <w:pPr>
              <w:spacing w:line="280" w:lineRule="exact"/>
              <w:jc w:val="right"/>
              <w:rPr>
                <w:rFonts w:ascii="微軟正黑體" w:eastAsia="微軟正黑體" w:hAnsi="微軟正黑體" w:cstheme="minorHAnsi"/>
                <w:szCs w:val="24"/>
              </w:rPr>
            </w:pPr>
            <w:r w:rsidRPr="00274DA8">
              <w:t xml:space="preserve">720 </w:t>
            </w:r>
          </w:p>
        </w:tc>
        <w:tc>
          <w:tcPr>
            <w:tcW w:w="993" w:type="dxa"/>
          </w:tcPr>
          <w:p w14:paraId="579DE236" w14:textId="77777777" w:rsidR="00C433A1" w:rsidRPr="00E97ED0" w:rsidRDefault="00C433A1" w:rsidP="00FD33FE">
            <w:pPr>
              <w:spacing w:line="280" w:lineRule="exact"/>
              <w:jc w:val="right"/>
              <w:rPr>
                <w:rFonts w:ascii="微軟正黑體" w:eastAsia="微軟正黑體" w:hAnsi="微軟正黑體" w:cstheme="minorHAnsi"/>
                <w:sz w:val="20"/>
                <w:szCs w:val="20"/>
              </w:rPr>
            </w:pPr>
            <w:r w:rsidRPr="00274DA8">
              <w:t>10.24%</w:t>
            </w:r>
          </w:p>
        </w:tc>
        <w:tc>
          <w:tcPr>
            <w:tcW w:w="1417" w:type="dxa"/>
            <w:shd w:val="clear" w:color="auto" w:fill="auto"/>
          </w:tcPr>
          <w:p w14:paraId="5EFC1DF6" w14:textId="77777777" w:rsidR="00C433A1" w:rsidRPr="00E97ED0" w:rsidRDefault="00C433A1" w:rsidP="00FD33FE">
            <w:pPr>
              <w:spacing w:line="280" w:lineRule="exact"/>
              <w:jc w:val="right"/>
              <w:rPr>
                <w:rFonts w:ascii="微軟正黑體" w:eastAsia="微軟正黑體" w:hAnsi="微軟正黑體" w:cstheme="minorHAnsi"/>
                <w:szCs w:val="24"/>
              </w:rPr>
            </w:pPr>
            <w:r w:rsidRPr="00274DA8">
              <w:t xml:space="preserve">6,313 </w:t>
            </w:r>
          </w:p>
        </w:tc>
        <w:tc>
          <w:tcPr>
            <w:tcW w:w="3827" w:type="dxa"/>
            <w:shd w:val="clear" w:color="auto" w:fill="auto"/>
          </w:tcPr>
          <w:p w14:paraId="0916593C" w14:textId="77777777" w:rsidR="00C433A1" w:rsidRPr="00E97ED0" w:rsidRDefault="00C433A1" w:rsidP="00FD33FE">
            <w:pPr>
              <w:spacing w:line="280" w:lineRule="exact"/>
              <w:jc w:val="center"/>
              <w:rPr>
                <w:rFonts w:eastAsia="微軟正黑體" w:cstheme="minorHAnsi"/>
                <w:szCs w:val="24"/>
              </w:rPr>
            </w:pPr>
            <w:r>
              <w:rPr>
                <w:rFonts w:eastAsia="微軟正黑體" w:cstheme="minorHAnsi" w:hint="eastAsia"/>
                <w:szCs w:val="24"/>
              </w:rPr>
              <w:t>2</w:t>
            </w:r>
            <w:r>
              <w:rPr>
                <w:rFonts w:eastAsia="微軟正黑體" w:cstheme="minorHAnsi"/>
                <w:szCs w:val="24"/>
              </w:rPr>
              <w:t>4</w:t>
            </w:r>
            <w:r>
              <w:rPr>
                <w:rFonts w:eastAsia="微軟正黑體" w:cstheme="minorHAnsi" w:hint="eastAsia"/>
                <w:szCs w:val="24"/>
              </w:rPr>
              <w:t>項計畫、</w:t>
            </w:r>
            <w:r>
              <w:rPr>
                <w:rFonts w:eastAsia="微軟正黑體" w:cstheme="minorHAnsi" w:hint="eastAsia"/>
                <w:szCs w:val="24"/>
              </w:rPr>
              <w:t>3</w:t>
            </w:r>
            <w:r>
              <w:rPr>
                <w:rFonts w:eastAsia="微軟正黑體" w:cstheme="minorHAnsi"/>
                <w:szCs w:val="24"/>
              </w:rPr>
              <w:t>14</w:t>
            </w:r>
            <w:r>
              <w:rPr>
                <w:rFonts w:eastAsia="微軟正黑體" w:cstheme="minorHAnsi" w:hint="eastAsia"/>
                <w:szCs w:val="24"/>
              </w:rPr>
              <w:t>人天、</w:t>
            </w:r>
            <w:r>
              <w:rPr>
                <w:rFonts w:eastAsia="微軟正黑體" w:cstheme="minorHAnsi" w:hint="eastAsia"/>
                <w:szCs w:val="24"/>
              </w:rPr>
              <w:t>7</w:t>
            </w:r>
            <w:r>
              <w:rPr>
                <w:rFonts w:eastAsia="微軟正黑體" w:cstheme="minorHAnsi"/>
                <w:szCs w:val="24"/>
              </w:rPr>
              <w:t>,033</w:t>
            </w:r>
            <w:r>
              <w:rPr>
                <w:rFonts w:eastAsia="微軟正黑體" w:cstheme="minorHAnsi" w:hint="eastAsia"/>
                <w:szCs w:val="24"/>
              </w:rPr>
              <w:t>千元</w:t>
            </w:r>
          </w:p>
        </w:tc>
      </w:tr>
      <w:tr w:rsidR="00F73480" w:rsidRPr="00E97ED0" w14:paraId="71D6AE3A" w14:textId="77777777" w:rsidTr="00F73480">
        <w:tc>
          <w:tcPr>
            <w:tcW w:w="836" w:type="dxa"/>
          </w:tcPr>
          <w:p w14:paraId="361D3EF8" w14:textId="77777777" w:rsidR="00C433A1" w:rsidRPr="00E97ED0" w:rsidRDefault="00C433A1"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114</w:t>
            </w:r>
          </w:p>
        </w:tc>
        <w:tc>
          <w:tcPr>
            <w:tcW w:w="992" w:type="dxa"/>
          </w:tcPr>
          <w:p w14:paraId="1B05885D" w14:textId="77777777" w:rsidR="00C433A1" w:rsidRPr="00E97ED0" w:rsidRDefault="00C433A1" w:rsidP="00FD33FE">
            <w:pPr>
              <w:spacing w:line="280" w:lineRule="exact"/>
              <w:jc w:val="right"/>
              <w:rPr>
                <w:rFonts w:eastAsia="微軟正黑體" w:cstheme="minorHAnsi"/>
                <w:szCs w:val="24"/>
              </w:rPr>
            </w:pPr>
            <w:bookmarkStart w:id="48" w:name="_Hlk230077367"/>
            <w:r w:rsidRPr="00274DA8">
              <w:t>7,718</w:t>
            </w:r>
            <w:bookmarkEnd w:id="48"/>
            <w:r w:rsidRPr="00274DA8">
              <w:t xml:space="preserve"> </w:t>
            </w:r>
          </w:p>
        </w:tc>
        <w:tc>
          <w:tcPr>
            <w:tcW w:w="992" w:type="dxa"/>
          </w:tcPr>
          <w:p w14:paraId="3E4D0A36" w14:textId="77777777" w:rsidR="00C433A1" w:rsidRPr="00CC6A7E" w:rsidRDefault="00C433A1" w:rsidP="00FD33FE">
            <w:pPr>
              <w:spacing w:line="280" w:lineRule="exact"/>
              <w:jc w:val="right"/>
              <w:rPr>
                <w:rFonts w:eastAsia="微軟正黑體" w:cstheme="minorHAnsi"/>
                <w:szCs w:val="24"/>
              </w:rPr>
            </w:pPr>
            <w:r w:rsidRPr="00274DA8">
              <w:t xml:space="preserve">7,524 </w:t>
            </w:r>
          </w:p>
        </w:tc>
        <w:tc>
          <w:tcPr>
            <w:tcW w:w="993" w:type="dxa"/>
          </w:tcPr>
          <w:p w14:paraId="2C8D9CD3" w14:textId="77777777" w:rsidR="00C433A1" w:rsidRPr="00D34ED4" w:rsidRDefault="00C433A1" w:rsidP="00FD33FE">
            <w:pPr>
              <w:spacing w:line="280" w:lineRule="exact"/>
              <w:jc w:val="right"/>
              <w:rPr>
                <w:rFonts w:ascii="微軟正黑體" w:eastAsia="微軟正黑體" w:hAnsi="微軟正黑體" w:cstheme="minorHAnsi"/>
                <w:b/>
                <w:sz w:val="22"/>
              </w:rPr>
            </w:pPr>
            <w:r w:rsidRPr="00274DA8">
              <w:t>97.49%</w:t>
            </w:r>
          </w:p>
        </w:tc>
        <w:tc>
          <w:tcPr>
            <w:tcW w:w="1417" w:type="dxa"/>
            <w:shd w:val="clear" w:color="auto" w:fill="auto"/>
          </w:tcPr>
          <w:p w14:paraId="4FC61102" w14:textId="77777777" w:rsidR="00C433A1" w:rsidRPr="00E97ED0" w:rsidRDefault="00C433A1" w:rsidP="00FD33FE">
            <w:pPr>
              <w:spacing w:line="280" w:lineRule="exact"/>
              <w:jc w:val="right"/>
              <w:rPr>
                <w:rFonts w:ascii="微軟正黑體" w:eastAsia="微軟正黑體" w:hAnsi="微軟正黑體" w:cstheme="minorHAnsi"/>
                <w:szCs w:val="24"/>
              </w:rPr>
            </w:pPr>
            <w:r w:rsidRPr="00274DA8">
              <w:t xml:space="preserve">194 </w:t>
            </w:r>
          </w:p>
        </w:tc>
        <w:tc>
          <w:tcPr>
            <w:tcW w:w="3827" w:type="dxa"/>
            <w:shd w:val="clear" w:color="auto" w:fill="auto"/>
          </w:tcPr>
          <w:p w14:paraId="7C876911" w14:textId="77777777" w:rsidR="00C433A1" w:rsidRPr="009A32B8" w:rsidRDefault="00C433A1" w:rsidP="00FD33FE">
            <w:pPr>
              <w:spacing w:line="280" w:lineRule="exact"/>
              <w:jc w:val="center"/>
              <w:rPr>
                <w:rFonts w:eastAsia="微軟正黑體" w:cstheme="minorHAnsi"/>
                <w:szCs w:val="24"/>
              </w:rPr>
            </w:pPr>
            <w:r w:rsidRPr="00176B4C">
              <w:rPr>
                <w:rFonts w:eastAsia="微軟正黑體" w:cstheme="minorHAnsi" w:hint="eastAsia"/>
                <w:szCs w:val="24"/>
              </w:rPr>
              <w:t>1</w:t>
            </w:r>
            <w:r w:rsidRPr="00176B4C">
              <w:rPr>
                <w:rFonts w:eastAsia="微軟正黑體" w:cstheme="minorHAnsi"/>
                <w:szCs w:val="24"/>
              </w:rPr>
              <w:t>8</w:t>
            </w:r>
            <w:r w:rsidRPr="00176B4C">
              <w:rPr>
                <w:rFonts w:eastAsia="微軟正黑體" w:cstheme="minorHAnsi" w:hint="eastAsia"/>
                <w:szCs w:val="24"/>
              </w:rPr>
              <w:t>項計畫、</w:t>
            </w:r>
            <w:r w:rsidRPr="00176B4C">
              <w:rPr>
                <w:rFonts w:eastAsia="微軟正黑體" w:cstheme="minorHAnsi" w:hint="eastAsia"/>
                <w:szCs w:val="24"/>
              </w:rPr>
              <w:t>2</w:t>
            </w:r>
            <w:r w:rsidRPr="00176B4C">
              <w:rPr>
                <w:rFonts w:eastAsia="微軟正黑體" w:cstheme="minorHAnsi"/>
                <w:szCs w:val="24"/>
              </w:rPr>
              <w:t>78</w:t>
            </w:r>
            <w:r>
              <w:rPr>
                <w:rFonts w:eastAsia="微軟正黑體" w:cstheme="minorHAnsi" w:hint="eastAsia"/>
                <w:szCs w:val="24"/>
              </w:rPr>
              <w:t>人</w:t>
            </w:r>
            <w:r w:rsidRPr="00176B4C">
              <w:rPr>
                <w:rFonts w:eastAsia="微軟正黑體" w:cstheme="minorHAnsi" w:hint="eastAsia"/>
                <w:szCs w:val="24"/>
              </w:rPr>
              <w:t>天、</w:t>
            </w:r>
            <w:r w:rsidRPr="00176B4C">
              <w:rPr>
                <w:rFonts w:eastAsia="微軟正黑體" w:cstheme="minorHAnsi" w:hint="eastAsia"/>
                <w:szCs w:val="24"/>
              </w:rPr>
              <w:t>7</w:t>
            </w:r>
            <w:r w:rsidRPr="00176B4C">
              <w:rPr>
                <w:rFonts w:eastAsia="微軟正黑體" w:cstheme="minorHAnsi"/>
                <w:szCs w:val="24"/>
              </w:rPr>
              <w:t>,718</w:t>
            </w:r>
            <w:r w:rsidRPr="00176B4C">
              <w:rPr>
                <w:rFonts w:eastAsia="微軟正黑體" w:cstheme="minorHAnsi" w:hint="eastAsia"/>
                <w:szCs w:val="24"/>
              </w:rPr>
              <w:t>千元</w:t>
            </w:r>
          </w:p>
        </w:tc>
      </w:tr>
      <w:tr w:rsidR="00F73480" w:rsidRPr="00E97ED0" w14:paraId="0BF8B78C" w14:textId="77777777" w:rsidTr="00F73480">
        <w:tc>
          <w:tcPr>
            <w:tcW w:w="836" w:type="dxa"/>
          </w:tcPr>
          <w:p w14:paraId="53E6ED6A" w14:textId="77777777" w:rsidR="00C433A1" w:rsidRPr="00E97ED0" w:rsidRDefault="00C433A1" w:rsidP="00FD33FE">
            <w:pPr>
              <w:spacing w:line="280" w:lineRule="exact"/>
              <w:jc w:val="center"/>
              <w:rPr>
                <w:rFonts w:ascii="微軟正黑體" w:eastAsia="微軟正黑體" w:hAnsi="微軟正黑體" w:cstheme="minorHAnsi"/>
                <w:szCs w:val="24"/>
              </w:rPr>
            </w:pPr>
            <w:r w:rsidRPr="00E97ED0">
              <w:rPr>
                <w:rFonts w:ascii="微軟正黑體" w:eastAsia="微軟正黑體" w:hAnsi="微軟正黑體" w:cstheme="minorHAnsi" w:hint="eastAsia"/>
                <w:szCs w:val="24"/>
              </w:rPr>
              <w:t>115</w:t>
            </w:r>
          </w:p>
        </w:tc>
        <w:tc>
          <w:tcPr>
            <w:tcW w:w="992" w:type="dxa"/>
          </w:tcPr>
          <w:p w14:paraId="5D2EEF92" w14:textId="77777777" w:rsidR="00C433A1" w:rsidRPr="00E97ED0" w:rsidRDefault="00C433A1" w:rsidP="00FD33FE">
            <w:pPr>
              <w:spacing w:line="280" w:lineRule="exact"/>
              <w:jc w:val="center"/>
              <w:rPr>
                <w:rFonts w:eastAsia="微軟正黑體" w:cstheme="minorHAnsi"/>
                <w:szCs w:val="24"/>
              </w:rPr>
            </w:pPr>
            <w:r w:rsidRPr="00FC7905">
              <w:rPr>
                <w:rFonts w:eastAsia="微軟正黑體" w:cstheme="minorHAnsi"/>
                <w:szCs w:val="24"/>
              </w:rPr>
              <w:t>20,031</w:t>
            </w:r>
          </w:p>
        </w:tc>
        <w:tc>
          <w:tcPr>
            <w:tcW w:w="992" w:type="dxa"/>
          </w:tcPr>
          <w:p w14:paraId="6CA99BBD" w14:textId="77777777" w:rsidR="00C433A1" w:rsidRPr="00E97ED0" w:rsidRDefault="00C433A1" w:rsidP="00FD33FE">
            <w:pPr>
              <w:spacing w:line="280" w:lineRule="exact"/>
              <w:jc w:val="right"/>
              <w:rPr>
                <w:rFonts w:ascii="微軟正黑體" w:eastAsia="微軟正黑體" w:hAnsi="微軟正黑體" w:cstheme="minorHAnsi"/>
                <w:szCs w:val="24"/>
              </w:rPr>
            </w:pPr>
          </w:p>
        </w:tc>
        <w:tc>
          <w:tcPr>
            <w:tcW w:w="993" w:type="dxa"/>
          </w:tcPr>
          <w:p w14:paraId="41C88A7C" w14:textId="77777777" w:rsidR="00C433A1" w:rsidRPr="00E97ED0" w:rsidRDefault="00C433A1" w:rsidP="00FD33FE">
            <w:pPr>
              <w:spacing w:line="280" w:lineRule="exact"/>
              <w:jc w:val="right"/>
              <w:rPr>
                <w:rFonts w:ascii="微軟正黑體" w:eastAsia="微軟正黑體" w:hAnsi="微軟正黑體" w:cstheme="minorHAnsi"/>
                <w:szCs w:val="24"/>
              </w:rPr>
            </w:pPr>
          </w:p>
        </w:tc>
        <w:tc>
          <w:tcPr>
            <w:tcW w:w="1417" w:type="dxa"/>
            <w:shd w:val="clear" w:color="auto" w:fill="auto"/>
          </w:tcPr>
          <w:p w14:paraId="45759562" w14:textId="77777777" w:rsidR="00C433A1" w:rsidRPr="00E97ED0" w:rsidRDefault="00C433A1" w:rsidP="00FD33FE">
            <w:pPr>
              <w:spacing w:line="280" w:lineRule="exact"/>
              <w:jc w:val="right"/>
              <w:rPr>
                <w:rFonts w:ascii="微軟正黑體" w:eastAsia="微軟正黑體" w:hAnsi="微軟正黑體" w:cstheme="minorHAnsi"/>
                <w:szCs w:val="24"/>
              </w:rPr>
            </w:pPr>
          </w:p>
        </w:tc>
        <w:tc>
          <w:tcPr>
            <w:tcW w:w="3827" w:type="dxa"/>
            <w:shd w:val="clear" w:color="auto" w:fill="auto"/>
          </w:tcPr>
          <w:p w14:paraId="4AF09E60" w14:textId="77777777" w:rsidR="00C433A1" w:rsidRPr="00F73480" w:rsidRDefault="00C433A1" w:rsidP="00FD33FE">
            <w:pPr>
              <w:spacing w:line="280" w:lineRule="exact"/>
              <w:jc w:val="center"/>
              <w:rPr>
                <w:rFonts w:ascii="微軟正黑體" w:eastAsia="微軟正黑體" w:hAnsi="微軟正黑體" w:cstheme="minorHAnsi"/>
                <w:spacing w:val="-4"/>
                <w:sz w:val="16"/>
                <w:szCs w:val="16"/>
              </w:rPr>
            </w:pPr>
            <w:r w:rsidRPr="00F73480">
              <w:rPr>
                <w:rFonts w:eastAsia="微軟正黑體" w:cstheme="minorHAnsi" w:hint="eastAsia"/>
                <w:spacing w:val="-4"/>
                <w:szCs w:val="24"/>
              </w:rPr>
              <w:t>2</w:t>
            </w:r>
            <w:r w:rsidRPr="00F73480">
              <w:rPr>
                <w:rFonts w:eastAsia="微軟正黑體" w:cstheme="minorHAnsi"/>
                <w:spacing w:val="-4"/>
                <w:szCs w:val="24"/>
              </w:rPr>
              <w:t>6</w:t>
            </w:r>
            <w:r w:rsidRPr="00F73480">
              <w:rPr>
                <w:rFonts w:eastAsia="微軟正黑體" w:cstheme="minorHAnsi" w:hint="eastAsia"/>
                <w:spacing w:val="-4"/>
                <w:szCs w:val="24"/>
              </w:rPr>
              <w:t>項計畫、</w:t>
            </w:r>
            <w:r w:rsidRPr="00F73480">
              <w:rPr>
                <w:rFonts w:eastAsia="微軟正黑體" w:cstheme="minorHAnsi" w:hint="eastAsia"/>
                <w:spacing w:val="-4"/>
                <w:szCs w:val="24"/>
              </w:rPr>
              <w:t>6</w:t>
            </w:r>
            <w:r w:rsidRPr="00F73480">
              <w:rPr>
                <w:rFonts w:eastAsia="微軟正黑體" w:cstheme="minorHAnsi"/>
                <w:spacing w:val="-4"/>
                <w:szCs w:val="24"/>
              </w:rPr>
              <w:t>23</w:t>
            </w:r>
            <w:r w:rsidRPr="00F73480">
              <w:rPr>
                <w:rFonts w:eastAsia="微軟正黑體" w:cstheme="minorHAnsi" w:hint="eastAsia"/>
                <w:spacing w:val="-4"/>
                <w:szCs w:val="24"/>
              </w:rPr>
              <w:t>人天、</w:t>
            </w:r>
            <w:r w:rsidRPr="00F73480">
              <w:rPr>
                <w:rFonts w:eastAsia="微軟正黑體" w:cstheme="minorHAnsi" w:hint="eastAsia"/>
                <w:spacing w:val="-4"/>
                <w:szCs w:val="24"/>
              </w:rPr>
              <w:t>2</w:t>
            </w:r>
            <w:r w:rsidRPr="00F73480">
              <w:rPr>
                <w:rFonts w:eastAsia="微軟正黑體" w:cstheme="minorHAnsi"/>
                <w:spacing w:val="-4"/>
                <w:szCs w:val="24"/>
              </w:rPr>
              <w:t>0,031</w:t>
            </w:r>
            <w:r w:rsidRPr="00F73480">
              <w:rPr>
                <w:rFonts w:eastAsia="微軟正黑體" w:cstheme="minorHAnsi" w:hint="eastAsia"/>
                <w:spacing w:val="-4"/>
                <w:szCs w:val="24"/>
              </w:rPr>
              <w:t>千元</w:t>
            </w:r>
          </w:p>
        </w:tc>
      </w:tr>
    </w:tbl>
    <w:bookmarkEnd w:id="47"/>
    <w:p w14:paraId="5FA63433" w14:textId="77777777" w:rsidR="00C433A1" w:rsidRDefault="00C433A1" w:rsidP="00E86EF7">
      <w:pPr>
        <w:pStyle w:val="10"/>
      </w:pPr>
      <w:r>
        <w:rPr>
          <w:rFonts w:hint="eastAsia"/>
        </w:rPr>
        <w:t>國外旅費暴增1</w:t>
      </w:r>
      <w:r>
        <w:t>.6</w:t>
      </w:r>
      <w:r>
        <w:rPr>
          <w:rFonts w:hint="eastAsia"/>
        </w:rPr>
        <w:t>倍，將備註欄的年度計畫數、人天數與預算數加以分析單價，結果如下表：</w:t>
      </w:r>
    </w:p>
    <w:tbl>
      <w:tblPr>
        <w:tblpPr w:leftFromText="180" w:rightFromText="180" w:vertAnchor="text" w:horzAnchor="margin" w:tblpY="194"/>
        <w:tblW w:w="90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1086"/>
        <w:gridCol w:w="1087"/>
        <w:gridCol w:w="1087"/>
        <w:gridCol w:w="2480"/>
        <w:gridCol w:w="2481"/>
      </w:tblGrid>
      <w:tr w:rsidR="00C433A1" w:rsidRPr="00E97ED0" w14:paraId="16DB798C" w14:textId="77777777" w:rsidTr="00E86EF7">
        <w:trPr>
          <w:tblHeader/>
        </w:trPr>
        <w:tc>
          <w:tcPr>
            <w:tcW w:w="9057" w:type="dxa"/>
            <w:gridSpan w:val="6"/>
          </w:tcPr>
          <w:p w14:paraId="062D672A" w14:textId="77777777" w:rsidR="00C433A1" w:rsidRPr="00E97ED0" w:rsidRDefault="00C433A1" w:rsidP="00FD33FE">
            <w:pPr>
              <w:spacing w:line="280" w:lineRule="exact"/>
              <w:jc w:val="center"/>
              <w:rPr>
                <w:rFonts w:ascii="微軟正黑體" w:eastAsia="微軟正黑體" w:hAnsi="微軟正黑體" w:cstheme="minorHAnsi"/>
                <w:b/>
                <w:bCs/>
                <w:szCs w:val="24"/>
              </w:rPr>
            </w:pPr>
            <w:r>
              <w:rPr>
                <w:rFonts w:ascii="微軟正黑體" w:eastAsia="微軟正黑體" w:hAnsi="微軟正黑體" w:cstheme="minorHAnsi" w:hint="eastAsia"/>
                <w:b/>
                <w:bCs/>
                <w:szCs w:val="24"/>
              </w:rPr>
              <w:t xml:space="preserve">年度國外旅費分析       </w:t>
            </w:r>
            <w:r w:rsidRPr="00BA4CCB">
              <w:rPr>
                <w:rFonts w:ascii="微軟正黑體" w:eastAsia="微軟正黑體" w:hAnsi="微軟正黑體" w:cstheme="minorHAnsi" w:hint="eastAsia"/>
                <w:b/>
                <w:bCs/>
                <w:sz w:val="20"/>
                <w:szCs w:val="20"/>
              </w:rPr>
              <w:t>單位</w:t>
            </w:r>
            <w:r>
              <w:rPr>
                <w:rFonts w:ascii="微軟正黑體" w:eastAsia="微軟正黑體" w:hAnsi="微軟正黑體" w:cstheme="minorHAnsi" w:hint="eastAsia"/>
                <w:b/>
                <w:bCs/>
                <w:sz w:val="20"/>
                <w:szCs w:val="20"/>
              </w:rPr>
              <w:t>：</w:t>
            </w:r>
            <w:r w:rsidRPr="00BA4CCB">
              <w:rPr>
                <w:rFonts w:ascii="微軟正黑體" w:eastAsia="微軟正黑體" w:hAnsi="微軟正黑體" w:cstheme="minorHAnsi" w:hint="eastAsia"/>
                <w:b/>
                <w:bCs/>
                <w:sz w:val="20"/>
                <w:szCs w:val="20"/>
              </w:rPr>
              <w:t>千元</w:t>
            </w:r>
          </w:p>
        </w:tc>
      </w:tr>
      <w:tr w:rsidR="00C433A1" w:rsidRPr="00E97ED0" w14:paraId="477C649A" w14:textId="77777777" w:rsidTr="00E86EF7">
        <w:trPr>
          <w:tblHeader/>
        </w:trPr>
        <w:tc>
          <w:tcPr>
            <w:tcW w:w="836" w:type="dxa"/>
          </w:tcPr>
          <w:p w14:paraId="7CD2A7AD"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p>
        </w:tc>
        <w:tc>
          <w:tcPr>
            <w:tcW w:w="1086" w:type="dxa"/>
          </w:tcPr>
          <w:p w14:paraId="3877A46A"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計畫數</w:t>
            </w:r>
          </w:p>
        </w:tc>
        <w:tc>
          <w:tcPr>
            <w:tcW w:w="1087" w:type="dxa"/>
          </w:tcPr>
          <w:p w14:paraId="60EB470E"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人天數</w:t>
            </w:r>
          </w:p>
        </w:tc>
        <w:tc>
          <w:tcPr>
            <w:tcW w:w="1087" w:type="dxa"/>
          </w:tcPr>
          <w:p w14:paraId="3D11C80A"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預算</w:t>
            </w:r>
          </w:p>
        </w:tc>
        <w:tc>
          <w:tcPr>
            <w:tcW w:w="2480" w:type="dxa"/>
            <w:shd w:val="clear" w:color="auto" w:fill="auto"/>
          </w:tcPr>
          <w:p w14:paraId="6E340D4F"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每項計畫</w:t>
            </w:r>
            <w:r>
              <w:rPr>
                <w:rFonts w:ascii="微軟正黑體" w:eastAsia="微軟正黑體" w:hAnsi="微軟正黑體" w:hint="eastAsia"/>
                <w:sz w:val="20"/>
                <w:szCs w:val="20"/>
              </w:rPr>
              <w:t>費用</w:t>
            </w:r>
          </w:p>
        </w:tc>
        <w:tc>
          <w:tcPr>
            <w:tcW w:w="2481" w:type="dxa"/>
            <w:shd w:val="clear" w:color="auto" w:fill="auto"/>
          </w:tcPr>
          <w:p w14:paraId="5DEF7C32" w14:textId="77777777" w:rsidR="00C433A1" w:rsidRPr="007D2A43" w:rsidRDefault="00C433A1" w:rsidP="00FD33FE">
            <w:pPr>
              <w:spacing w:line="280" w:lineRule="exact"/>
              <w:jc w:val="center"/>
              <w:rPr>
                <w:rFonts w:ascii="微軟正黑體" w:eastAsia="微軟正黑體" w:hAnsi="微軟正黑體" w:cstheme="minorHAnsi"/>
                <w:b/>
                <w:sz w:val="20"/>
                <w:szCs w:val="20"/>
              </w:rPr>
            </w:pPr>
            <w:r w:rsidRPr="007D2A43">
              <w:rPr>
                <w:rFonts w:ascii="微軟正黑體" w:eastAsia="微軟正黑體" w:hAnsi="微軟正黑體" w:hint="eastAsia"/>
                <w:sz w:val="20"/>
                <w:szCs w:val="20"/>
              </w:rPr>
              <w:t>每人天</w:t>
            </w:r>
            <w:r>
              <w:rPr>
                <w:rFonts w:ascii="微軟正黑體" w:eastAsia="微軟正黑體" w:hAnsi="微軟正黑體" w:hint="eastAsia"/>
                <w:sz w:val="20"/>
                <w:szCs w:val="20"/>
              </w:rPr>
              <w:t>費用</w:t>
            </w:r>
          </w:p>
        </w:tc>
      </w:tr>
      <w:tr w:rsidR="00C433A1" w:rsidRPr="00E97ED0" w14:paraId="0A4481C4" w14:textId="77777777" w:rsidTr="00E86EF7">
        <w:tc>
          <w:tcPr>
            <w:tcW w:w="836" w:type="dxa"/>
          </w:tcPr>
          <w:p w14:paraId="0A2C4B01"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112</w:t>
            </w:r>
          </w:p>
        </w:tc>
        <w:tc>
          <w:tcPr>
            <w:tcW w:w="1086" w:type="dxa"/>
          </w:tcPr>
          <w:p w14:paraId="60461DC8" w14:textId="77777777" w:rsidR="00C433A1" w:rsidRPr="00E97ED0" w:rsidRDefault="00C433A1" w:rsidP="00FD33FE">
            <w:pPr>
              <w:spacing w:line="280" w:lineRule="exact"/>
              <w:jc w:val="center"/>
              <w:rPr>
                <w:rFonts w:eastAsia="微軟正黑體" w:cstheme="minorHAnsi"/>
                <w:szCs w:val="24"/>
              </w:rPr>
            </w:pPr>
            <w:r w:rsidRPr="005E79DB">
              <w:t>23</w:t>
            </w:r>
          </w:p>
        </w:tc>
        <w:tc>
          <w:tcPr>
            <w:tcW w:w="1087" w:type="dxa"/>
          </w:tcPr>
          <w:p w14:paraId="7CF1793D" w14:textId="77777777" w:rsidR="00C433A1" w:rsidRPr="00D34ED4" w:rsidRDefault="00C433A1" w:rsidP="00FD33FE">
            <w:pPr>
              <w:spacing w:line="280" w:lineRule="exact"/>
              <w:jc w:val="center"/>
              <w:rPr>
                <w:rFonts w:ascii="微軟正黑體" w:eastAsia="微軟正黑體" w:hAnsi="微軟正黑體" w:cstheme="minorHAnsi"/>
                <w:b/>
                <w:szCs w:val="24"/>
              </w:rPr>
            </w:pPr>
            <w:r w:rsidRPr="005E79DB">
              <w:t>382</w:t>
            </w:r>
          </w:p>
        </w:tc>
        <w:tc>
          <w:tcPr>
            <w:tcW w:w="1087" w:type="dxa"/>
          </w:tcPr>
          <w:p w14:paraId="56C51577" w14:textId="77777777" w:rsidR="00C433A1" w:rsidRPr="005D00F1" w:rsidRDefault="00C433A1" w:rsidP="00FD33FE">
            <w:pPr>
              <w:spacing w:line="280" w:lineRule="exact"/>
              <w:jc w:val="right"/>
              <w:rPr>
                <w:rFonts w:ascii="微軟正黑體" w:eastAsia="微軟正黑體" w:hAnsi="微軟正黑體" w:cstheme="minorHAnsi"/>
                <w:b/>
                <w:sz w:val="20"/>
                <w:szCs w:val="20"/>
              </w:rPr>
            </w:pPr>
            <w:r w:rsidRPr="005E79DB">
              <w:t xml:space="preserve">7,033 </w:t>
            </w:r>
          </w:p>
        </w:tc>
        <w:tc>
          <w:tcPr>
            <w:tcW w:w="2480" w:type="dxa"/>
            <w:shd w:val="clear" w:color="auto" w:fill="auto"/>
          </w:tcPr>
          <w:p w14:paraId="61D55D41"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306</w:t>
            </w:r>
          </w:p>
        </w:tc>
        <w:tc>
          <w:tcPr>
            <w:tcW w:w="2481" w:type="dxa"/>
            <w:shd w:val="clear" w:color="auto" w:fill="auto"/>
          </w:tcPr>
          <w:p w14:paraId="51677D73" w14:textId="77777777" w:rsidR="00C433A1" w:rsidRPr="00E97ED0" w:rsidRDefault="00C433A1" w:rsidP="00FD33FE">
            <w:pPr>
              <w:spacing w:line="280" w:lineRule="exact"/>
              <w:jc w:val="center"/>
              <w:rPr>
                <w:rFonts w:eastAsia="微軟正黑體" w:cstheme="minorHAnsi"/>
                <w:szCs w:val="24"/>
              </w:rPr>
            </w:pPr>
            <w:r w:rsidRPr="005E79DB">
              <w:t xml:space="preserve">18.41 </w:t>
            </w:r>
          </w:p>
        </w:tc>
      </w:tr>
      <w:tr w:rsidR="00C433A1" w:rsidRPr="00E97ED0" w14:paraId="3398FD35" w14:textId="77777777" w:rsidTr="00E86EF7">
        <w:tc>
          <w:tcPr>
            <w:tcW w:w="836" w:type="dxa"/>
          </w:tcPr>
          <w:p w14:paraId="0132FFA5"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lastRenderedPageBreak/>
              <w:t>113</w:t>
            </w:r>
          </w:p>
        </w:tc>
        <w:tc>
          <w:tcPr>
            <w:tcW w:w="1086" w:type="dxa"/>
          </w:tcPr>
          <w:p w14:paraId="1C85FC57" w14:textId="77777777" w:rsidR="00C433A1" w:rsidRPr="00E97ED0" w:rsidRDefault="00C433A1" w:rsidP="00FD33FE">
            <w:pPr>
              <w:spacing w:line="280" w:lineRule="exact"/>
              <w:jc w:val="center"/>
              <w:rPr>
                <w:rFonts w:eastAsia="微軟正黑體" w:cstheme="minorHAnsi"/>
                <w:szCs w:val="24"/>
              </w:rPr>
            </w:pPr>
            <w:r w:rsidRPr="005E79DB">
              <w:t>24</w:t>
            </w:r>
          </w:p>
        </w:tc>
        <w:tc>
          <w:tcPr>
            <w:tcW w:w="1087" w:type="dxa"/>
          </w:tcPr>
          <w:p w14:paraId="5B2E4D34"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314</w:t>
            </w:r>
          </w:p>
        </w:tc>
        <w:tc>
          <w:tcPr>
            <w:tcW w:w="1087" w:type="dxa"/>
          </w:tcPr>
          <w:p w14:paraId="1A54A0B1" w14:textId="77777777" w:rsidR="00C433A1" w:rsidRPr="00E97ED0" w:rsidRDefault="00C433A1" w:rsidP="00FD33FE">
            <w:pPr>
              <w:spacing w:line="280" w:lineRule="exact"/>
              <w:jc w:val="right"/>
              <w:rPr>
                <w:rFonts w:ascii="微軟正黑體" w:eastAsia="微軟正黑體" w:hAnsi="微軟正黑體" w:cstheme="minorHAnsi"/>
                <w:sz w:val="20"/>
                <w:szCs w:val="20"/>
              </w:rPr>
            </w:pPr>
            <w:r w:rsidRPr="005E79DB">
              <w:t xml:space="preserve">7,033 </w:t>
            </w:r>
          </w:p>
        </w:tc>
        <w:tc>
          <w:tcPr>
            <w:tcW w:w="2480" w:type="dxa"/>
            <w:shd w:val="clear" w:color="auto" w:fill="auto"/>
          </w:tcPr>
          <w:p w14:paraId="3BA56B89"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293</w:t>
            </w:r>
          </w:p>
        </w:tc>
        <w:tc>
          <w:tcPr>
            <w:tcW w:w="2481" w:type="dxa"/>
            <w:shd w:val="clear" w:color="auto" w:fill="auto"/>
          </w:tcPr>
          <w:p w14:paraId="541B3A50" w14:textId="77777777" w:rsidR="00C433A1" w:rsidRPr="00E97ED0" w:rsidRDefault="00C433A1" w:rsidP="00FD33FE">
            <w:pPr>
              <w:spacing w:line="280" w:lineRule="exact"/>
              <w:jc w:val="center"/>
              <w:rPr>
                <w:rFonts w:eastAsia="微軟正黑體" w:cstheme="minorHAnsi"/>
                <w:szCs w:val="24"/>
              </w:rPr>
            </w:pPr>
            <w:r w:rsidRPr="005E79DB">
              <w:t xml:space="preserve">22.40 </w:t>
            </w:r>
          </w:p>
        </w:tc>
      </w:tr>
      <w:tr w:rsidR="00C433A1" w:rsidRPr="00E97ED0" w14:paraId="2D72B683" w14:textId="77777777" w:rsidTr="00E86EF7">
        <w:tc>
          <w:tcPr>
            <w:tcW w:w="836" w:type="dxa"/>
          </w:tcPr>
          <w:p w14:paraId="0F36B48C"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114</w:t>
            </w:r>
          </w:p>
        </w:tc>
        <w:tc>
          <w:tcPr>
            <w:tcW w:w="1086" w:type="dxa"/>
          </w:tcPr>
          <w:p w14:paraId="40B90D9D" w14:textId="77777777" w:rsidR="00C433A1" w:rsidRPr="00E97ED0" w:rsidRDefault="00C433A1" w:rsidP="00FD33FE">
            <w:pPr>
              <w:spacing w:line="280" w:lineRule="exact"/>
              <w:jc w:val="center"/>
              <w:rPr>
                <w:rFonts w:eastAsia="微軟正黑體" w:cstheme="minorHAnsi"/>
                <w:szCs w:val="24"/>
              </w:rPr>
            </w:pPr>
            <w:r w:rsidRPr="005E79DB">
              <w:t>18</w:t>
            </w:r>
          </w:p>
        </w:tc>
        <w:tc>
          <w:tcPr>
            <w:tcW w:w="1087" w:type="dxa"/>
          </w:tcPr>
          <w:p w14:paraId="164C2710" w14:textId="77777777" w:rsidR="00C433A1" w:rsidRPr="00CC6A7E" w:rsidRDefault="00C433A1" w:rsidP="00FD33FE">
            <w:pPr>
              <w:spacing w:line="280" w:lineRule="exact"/>
              <w:jc w:val="center"/>
              <w:rPr>
                <w:rFonts w:eastAsia="微軟正黑體" w:cstheme="minorHAnsi"/>
                <w:szCs w:val="24"/>
              </w:rPr>
            </w:pPr>
            <w:r w:rsidRPr="005E79DB">
              <w:t>278</w:t>
            </w:r>
          </w:p>
        </w:tc>
        <w:tc>
          <w:tcPr>
            <w:tcW w:w="1087" w:type="dxa"/>
          </w:tcPr>
          <w:p w14:paraId="0283614A" w14:textId="77777777" w:rsidR="00C433A1" w:rsidRPr="00D34ED4" w:rsidRDefault="00C433A1" w:rsidP="00FD33FE">
            <w:pPr>
              <w:spacing w:line="280" w:lineRule="exact"/>
              <w:jc w:val="right"/>
              <w:rPr>
                <w:rFonts w:ascii="微軟正黑體" w:eastAsia="微軟正黑體" w:hAnsi="微軟正黑體" w:cstheme="minorHAnsi"/>
                <w:b/>
                <w:sz w:val="22"/>
              </w:rPr>
            </w:pPr>
            <w:r w:rsidRPr="005E79DB">
              <w:t xml:space="preserve">7,718 </w:t>
            </w:r>
          </w:p>
        </w:tc>
        <w:tc>
          <w:tcPr>
            <w:tcW w:w="2480" w:type="dxa"/>
            <w:shd w:val="clear" w:color="auto" w:fill="auto"/>
          </w:tcPr>
          <w:p w14:paraId="05380A82"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429</w:t>
            </w:r>
          </w:p>
        </w:tc>
        <w:tc>
          <w:tcPr>
            <w:tcW w:w="2481" w:type="dxa"/>
            <w:shd w:val="clear" w:color="auto" w:fill="auto"/>
          </w:tcPr>
          <w:p w14:paraId="51F7E0AA" w14:textId="77777777" w:rsidR="00C433A1" w:rsidRPr="009A32B8" w:rsidRDefault="00C433A1" w:rsidP="00FD33FE">
            <w:pPr>
              <w:spacing w:line="280" w:lineRule="exact"/>
              <w:jc w:val="center"/>
              <w:rPr>
                <w:rFonts w:eastAsia="微軟正黑體" w:cstheme="minorHAnsi"/>
                <w:szCs w:val="24"/>
              </w:rPr>
            </w:pPr>
            <w:r w:rsidRPr="005E79DB">
              <w:t xml:space="preserve">27.76 </w:t>
            </w:r>
          </w:p>
        </w:tc>
      </w:tr>
      <w:tr w:rsidR="00C433A1" w:rsidRPr="00E97ED0" w14:paraId="526B0A7C" w14:textId="77777777" w:rsidTr="00E86EF7">
        <w:tc>
          <w:tcPr>
            <w:tcW w:w="836" w:type="dxa"/>
          </w:tcPr>
          <w:p w14:paraId="24D08533"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115</w:t>
            </w:r>
          </w:p>
        </w:tc>
        <w:tc>
          <w:tcPr>
            <w:tcW w:w="1086" w:type="dxa"/>
          </w:tcPr>
          <w:p w14:paraId="6E92C58C" w14:textId="77777777" w:rsidR="00C433A1" w:rsidRPr="00E97ED0" w:rsidRDefault="00C433A1" w:rsidP="00FD33FE">
            <w:pPr>
              <w:spacing w:line="280" w:lineRule="exact"/>
              <w:jc w:val="center"/>
              <w:rPr>
                <w:rFonts w:eastAsia="微軟正黑體" w:cstheme="minorHAnsi"/>
                <w:szCs w:val="24"/>
              </w:rPr>
            </w:pPr>
            <w:r w:rsidRPr="005E79DB">
              <w:t>26</w:t>
            </w:r>
          </w:p>
        </w:tc>
        <w:tc>
          <w:tcPr>
            <w:tcW w:w="1087" w:type="dxa"/>
          </w:tcPr>
          <w:p w14:paraId="0FB18BC4"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623</w:t>
            </w:r>
          </w:p>
        </w:tc>
        <w:tc>
          <w:tcPr>
            <w:tcW w:w="1087" w:type="dxa"/>
          </w:tcPr>
          <w:p w14:paraId="294B9414" w14:textId="77777777" w:rsidR="00C433A1" w:rsidRPr="00E97ED0" w:rsidRDefault="00C433A1" w:rsidP="00FD33FE">
            <w:pPr>
              <w:spacing w:line="280" w:lineRule="exact"/>
              <w:jc w:val="right"/>
              <w:rPr>
                <w:rFonts w:ascii="微軟正黑體" w:eastAsia="微軟正黑體" w:hAnsi="微軟正黑體" w:cstheme="minorHAnsi"/>
                <w:szCs w:val="24"/>
              </w:rPr>
            </w:pPr>
            <w:r w:rsidRPr="005E79DB">
              <w:t xml:space="preserve">20,031 </w:t>
            </w:r>
          </w:p>
        </w:tc>
        <w:tc>
          <w:tcPr>
            <w:tcW w:w="2480" w:type="dxa"/>
            <w:shd w:val="clear" w:color="auto" w:fill="auto"/>
          </w:tcPr>
          <w:p w14:paraId="537C8DBE" w14:textId="77777777" w:rsidR="00C433A1" w:rsidRPr="00E97ED0" w:rsidRDefault="00C433A1" w:rsidP="00FD33FE">
            <w:pPr>
              <w:spacing w:line="280" w:lineRule="exact"/>
              <w:jc w:val="center"/>
              <w:rPr>
                <w:rFonts w:ascii="微軟正黑體" w:eastAsia="微軟正黑體" w:hAnsi="微軟正黑體" w:cstheme="minorHAnsi"/>
                <w:szCs w:val="24"/>
              </w:rPr>
            </w:pPr>
            <w:r w:rsidRPr="005E79DB">
              <w:t>770</w:t>
            </w:r>
          </w:p>
        </w:tc>
        <w:tc>
          <w:tcPr>
            <w:tcW w:w="2481" w:type="dxa"/>
            <w:shd w:val="clear" w:color="auto" w:fill="auto"/>
          </w:tcPr>
          <w:p w14:paraId="6C56A0FD" w14:textId="77777777" w:rsidR="00C433A1" w:rsidRPr="007C5032" w:rsidRDefault="00C433A1" w:rsidP="00FD33FE">
            <w:pPr>
              <w:spacing w:line="280" w:lineRule="exact"/>
              <w:jc w:val="center"/>
              <w:rPr>
                <w:rFonts w:ascii="微軟正黑體" w:eastAsia="微軟正黑體" w:hAnsi="微軟正黑體" w:cstheme="minorHAnsi"/>
                <w:sz w:val="16"/>
                <w:szCs w:val="16"/>
              </w:rPr>
            </w:pPr>
            <w:r w:rsidRPr="005E79DB">
              <w:t xml:space="preserve">32.15 </w:t>
            </w:r>
          </w:p>
        </w:tc>
      </w:tr>
    </w:tbl>
    <w:p w14:paraId="6F7E2B8F" w14:textId="77777777" w:rsidR="00C433A1" w:rsidRDefault="00C433A1" w:rsidP="00433EBA">
      <w:pPr>
        <w:pStyle w:val="10"/>
      </w:pPr>
      <w:r>
        <w:rPr>
          <w:rFonts w:hint="eastAsia"/>
        </w:rPr>
        <w:t>1</w:t>
      </w:r>
      <w:r>
        <w:t>15</w:t>
      </w:r>
      <w:r>
        <w:rPr>
          <w:rFonts w:hint="eastAsia"/>
        </w:rPr>
        <w:t>年度每項計畫平均費用已高達7</w:t>
      </w:r>
      <w:r>
        <w:t>70</w:t>
      </w:r>
      <w:r>
        <w:rPr>
          <w:rFonts w:hint="eastAsia"/>
        </w:rPr>
        <w:t>千元，而每人天費用也高達3</w:t>
      </w:r>
      <w:r>
        <w:t>2.15</w:t>
      </w:r>
      <w:r>
        <w:rPr>
          <w:rFonts w:hint="eastAsia"/>
        </w:rPr>
        <w:t>千元。顯見1</w:t>
      </w:r>
      <w:r>
        <w:t>15</w:t>
      </w:r>
      <w:r>
        <w:rPr>
          <w:rFonts w:hint="eastAsia"/>
        </w:rPr>
        <w:t>年國安會所編列之「國外旅費」確有不尋常之處，有加以說明之必要。</w:t>
      </w:r>
    </w:p>
    <w:p w14:paraId="69F8C7F1" w14:textId="5659F818" w:rsidR="00890645" w:rsidRPr="00890645" w:rsidRDefault="00C433A1" w:rsidP="00433EBA">
      <w:pPr>
        <w:pStyle w:val="10"/>
      </w:pPr>
      <w:r w:rsidRPr="005B2C89">
        <w:rPr>
          <w:rFonts w:hint="eastAsia"/>
        </w:rPr>
        <w:t>惟</w:t>
      </w:r>
      <w:r>
        <w:rPr>
          <w:rFonts w:hint="eastAsia"/>
        </w:rPr>
        <w:t>國安會</w:t>
      </w:r>
      <w:r w:rsidRPr="005B2C89">
        <w:rPr>
          <w:rFonts w:hint="eastAsia"/>
        </w:rPr>
        <w:t>115年度預算案仍編列「</w:t>
      </w:r>
      <w:r>
        <w:rPr>
          <w:rFonts w:hint="eastAsia"/>
        </w:rPr>
        <w:t>國外旅費</w:t>
      </w:r>
      <w:r w:rsidRPr="005B2C89">
        <w:rPr>
          <w:rFonts w:hint="eastAsia"/>
        </w:rPr>
        <w:t>」</w:t>
      </w:r>
      <w:r w:rsidRPr="00FC7905">
        <w:t>20,031</w:t>
      </w:r>
      <w:r w:rsidRPr="005B2C89">
        <w:rPr>
          <w:rFonts w:hint="eastAsia"/>
        </w:rPr>
        <w:t>千元，與114年法定預算相比，</w:t>
      </w:r>
      <w:r w:rsidRPr="002A0362">
        <w:rPr>
          <w:rFonts w:hint="eastAsia"/>
        </w:rPr>
        <w:t>增列1,231萬元，增加幅度高達159.54%，也就是原來的1.6倍！</w:t>
      </w:r>
      <w:r w:rsidRPr="005B2C89">
        <w:rPr>
          <w:rFonts w:hint="eastAsia"/>
        </w:rPr>
        <w:t>為兌現賴總統對美方的承諾，且為配合國防支出大幅增加之影響而必須撙節經費，</w:t>
      </w:r>
      <w:r w:rsidRPr="008C300A">
        <w:rPr>
          <w:rFonts w:hint="eastAsia"/>
          <w:b/>
          <w:u w:val="thick"/>
        </w:rPr>
        <w:t>爰提案減列</w:t>
      </w:r>
      <w:r>
        <w:rPr>
          <w:rFonts w:hint="eastAsia"/>
          <w:b/>
          <w:u w:val="thick"/>
        </w:rPr>
        <w:t>1</w:t>
      </w:r>
      <w:r>
        <w:rPr>
          <w:b/>
          <w:u w:val="thick"/>
        </w:rPr>
        <w:t>,20</w:t>
      </w:r>
      <w:r w:rsidRPr="008C300A">
        <w:rPr>
          <w:rFonts w:hint="eastAsia"/>
          <w:b/>
          <w:u w:val="thick"/>
        </w:rPr>
        <w:t>0萬元整</w:t>
      </w:r>
      <w:r>
        <w:rPr>
          <w:rFonts w:hint="eastAsia"/>
          <w:b/>
          <w:u w:val="thick"/>
        </w:rPr>
        <w:t>並凍結1成</w:t>
      </w:r>
      <w:r w:rsidRPr="008C300A">
        <w:rPr>
          <w:rFonts w:hint="eastAsia"/>
          <w:b/>
          <w:u w:val="thick"/>
        </w:rPr>
        <w:t>且不得流用勻支</w:t>
      </w:r>
      <w:r w:rsidRPr="005B2C89">
        <w:rPr>
          <w:rFonts w:hint="eastAsia"/>
        </w:rPr>
        <w:t>，以避免有限之財政資源閒置與浪費。</w:t>
      </w:r>
      <w:r w:rsidRPr="002A0362">
        <w:rPr>
          <w:rFonts w:hint="eastAsia"/>
        </w:rPr>
        <w:t>俟</w:t>
      </w:r>
      <w:r>
        <w:rPr>
          <w:rFonts w:hint="eastAsia"/>
        </w:rPr>
        <w:t>國安會於二個月內</w:t>
      </w:r>
      <w:r w:rsidRPr="002A0362">
        <w:rPr>
          <w:rFonts w:hint="eastAsia"/>
        </w:rPr>
        <w:t>向立法院司法及法制委員會提交書面報告，經同意後始得動支。</w:t>
      </w:r>
      <w:r w:rsidR="00890645" w:rsidRPr="00890645">
        <w:t>【</w:t>
      </w:r>
      <w:r>
        <w:rPr>
          <w:rFonts w:hint="eastAsia"/>
        </w:rPr>
        <w:t>42</w:t>
      </w:r>
      <w:r w:rsidR="00890645" w:rsidRPr="00890645">
        <w:t>】</w:t>
      </w:r>
    </w:p>
    <w:p w14:paraId="081B6682" w14:textId="77777777" w:rsidR="00890645" w:rsidRPr="00890645" w:rsidRDefault="00890645" w:rsidP="00433EBA">
      <w:pPr>
        <w:pStyle w:val="21"/>
      </w:pPr>
      <w:r w:rsidRPr="00890645">
        <w:t>提案人：翁曉玲</w:t>
      </w:r>
    </w:p>
    <w:p w14:paraId="1E3849AB" w14:textId="77777777" w:rsidR="00890645" w:rsidRPr="00890645" w:rsidRDefault="00890645" w:rsidP="00433EBA">
      <w:pPr>
        <w:pStyle w:val="21"/>
      </w:pPr>
      <w:r w:rsidRPr="00890645">
        <w:t>連署人：許宇甄　林倩綺</w:t>
      </w:r>
    </w:p>
    <w:p w14:paraId="01DE96A9" w14:textId="045CE033" w:rsidR="005A2FA4" w:rsidRPr="005A2FA4" w:rsidRDefault="005A2FA4" w:rsidP="005A2FA4">
      <w:pPr>
        <w:snapToGrid w:val="0"/>
        <w:ind w:leftChars="150" w:left="1201" w:hangingChars="300" w:hanging="841"/>
        <w:jc w:val="both"/>
        <w:rPr>
          <w:rFonts w:ascii="標楷體" w:eastAsia="標楷體" w:hAnsi="標楷體"/>
          <w:b/>
          <w:color w:val="000000"/>
          <w:sz w:val="28"/>
          <w:szCs w:val="28"/>
        </w:rPr>
      </w:pPr>
      <w:r w:rsidRPr="005A2FA4">
        <w:rPr>
          <w:rFonts w:ascii="標楷體" w:eastAsia="標楷體" w:hAnsi="標楷體"/>
          <w:b/>
          <w:sz w:val="28"/>
          <w:szCs w:val="28"/>
        </w:rPr>
        <w:t>本項通過決議</w:t>
      </w:r>
      <w:r w:rsidR="00DE1767">
        <w:rPr>
          <w:rFonts w:ascii="標楷體" w:eastAsia="標楷體" w:hAnsi="標楷體" w:hint="eastAsia"/>
          <w:b/>
          <w:sz w:val="28"/>
          <w:szCs w:val="28"/>
        </w:rPr>
        <w:t>4</w:t>
      </w:r>
      <w:r w:rsidRPr="005A2FA4">
        <w:rPr>
          <w:rFonts w:ascii="標楷體" w:eastAsia="標楷體" w:hAnsi="標楷體"/>
          <w:b/>
          <w:sz w:val="28"/>
          <w:szCs w:val="28"/>
        </w:rPr>
        <w:t>項：</w:t>
      </w:r>
    </w:p>
    <w:p w14:paraId="5C4BF676" w14:textId="0DE6D6E1" w:rsidR="00890645" w:rsidRPr="00890645" w:rsidRDefault="00890645" w:rsidP="00F33345">
      <w:pPr>
        <w:pStyle w:val="a"/>
        <w:numPr>
          <w:ilvl w:val="0"/>
          <w:numId w:val="32"/>
        </w:numPr>
      </w:pPr>
      <w:r w:rsidRPr="00890645">
        <w:t>115年度國家安全會議歲出預算「</w:t>
      </w:r>
      <w:r w:rsidR="00433EBA">
        <w:rPr>
          <w:rFonts w:hint="eastAsia"/>
        </w:rPr>
        <w:t>人事費</w:t>
      </w:r>
      <w:r w:rsidRPr="00890645">
        <w:t>」</w:t>
      </w:r>
      <w:r w:rsidR="00433EBA">
        <w:rPr>
          <w:rFonts w:hint="eastAsia"/>
        </w:rPr>
        <w:t>項下「</w:t>
      </w:r>
      <w:r w:rsidR="00F33345">
        <w:rPr>
          <w:rFonts w:hint="eastAsia"/>
        </w:rPr>
        <w:t>約聘僱人員待遇</w:t>
      </w:r>
      <w:r w:rsidR="00433EBA">
        <w:rPr>
          <w:rFonts w:hint="eastAsia"/>
        </w:rPr>
        <w:t>」</w:t>
      </w:r>
      <w:r w:rsidRPr="00890645">
        <w:t>編列</w:t>
      </w:r>
      <w:r w:rsidR="00F33345">
        <w:rPr>
          <w:rFonts w:hint="eastAsia"/>
        </w:rPr>
        <w:t>662</w:t>
      </w:r>
      <w:r w:rsidRPr="00890645">
        <w:t>萬</w:t>
      </w:r>
      <w:r w:rsidR="00F33345">
        <w:rPr>
          <w:rFonts w:hint="eastAsia"/>
        </w:rPr>
        <w:t>2</w:t>
      </w:r>
      <w:r w:rsidRPr="00890645">
        <w:t>千</w:t>
      </w:r>
      <w:r w:rsidR="00F64ECF">
        <w:rPr>
          <w:rFonts w:hint="eastAsia"/>
        </w:rPr>
        <w:t>元</w:t>
      </w:r>
      <w:r w:rsidRPr="00890645">
        <w:t>，凍結</w:t>
      </w:r>
      <w:r w:rsidR="00F33345">
        <w:rPr>
          <w:rFonts w:hint="eastAsia"/>
        </w:rPr>
        <w:t>66</w:t>
      </w:r>
      <w:r w:rsidRPr="00890645">
        <w:t>萬</w:t>
      </w:r>
      <w:r w:rsidR="00F33345">
        <w:rPr>
          <w:rFonts w:hint="eastAsia"/>
        </w:rPr>
        <w:t>2千</w:t>
      </w:r>
      <w:r w:rsidRPr="00890645">
        <w:t>元，俟向立法院司法及法制委員會提出書面報告後，始得動支。</w:t>
      </w:r>
      <w:r w:rsidR="00F33345" w:rsidRPr="00890645">
        <w:t>【</w:t>
      </w:r>
      <w:r w:rsidR="00F33345">
        <w:rPr>
          <w:rFonts w:hint="eastAsia"/>
        </w:rPr>
        <w:t>30</w:t>
      </w:r>
      <w:r w:rsidR="00F33345" w:rsidRPr="00890645">
        <w:t>】</w:t>
      </w:r>
    </w:p>
    <w:p w14:paraId="693B050D" w14:textId="47C565AB" w:rsidR="00890645" w:rsidRPr="00890645" w:rsidRDefault="00890645" w:rsidP="00F33345">
      <w:pPr>
        <w:pStyle w:val="21"/>
      </w:pPr>
      <w:r w:rsidRPr="00890645">
        <w:t>提案人：</w:t>
      </w:r>
      <w:r w:rsidR="00F33345" w:rsidRPr="00890645">
        <w:t>翁曉玲</w:t>
      </w:r>
    </w:p>
    <w:p w14:paraId="183DAB0D" w14:textId="3AFC716C" w:rsidR="00890645" w:rsidRPr="00890645" w:rsidRDefault="00890645" w:rsidP="00F33345">
      <w:pPr>
        <w:pStyle w:val="21"/>
      </w:pPr>
      <w:r w:rsidRPr="00890645">
        <w:t>連署人：</w:t>
      </w:r>
      <w:r w:rsidR="00F33345" w:rsidRPr="00890645">
        <w:t>許宇甄　林倩綺</w:t>
      </w:r>
    </w:p>
    <w:p w14:paraId="517D89A3" w14:textId="30C498C1" w:rsidR="00890645" w:rsidRPr="00890645" w:rsidRDefault="00890645" w:rsidP="00F33345">
      <w:pPr>
        <w:pStyle w:val="1"/>
      </w:pPr>
      <w:r w:rsidRPr="00890645">
        <w:t>115年度國家安全會議歲出預算第2目「諮詢研究業務」編列3,385萬3千</w:t>
      </w:r>
      <w:r w:rsidR="00F64ECF">
        <w:rPr>
          <w:rFonts w:hint="eastAsia"/>
        </w:rPr>
        <w:t>元</w:t>
      </w:r>
      <w:r w:rsidRPr="00890645">
        <w:t>，凍結</w:t>
      </w:r>
      <w:r w:rsidR="00F33345">
        <w:rPr>
          <w:rFonts w:hint="eastAsia"/>
        </w:rPr>
        <w:t>169</w:t>
      </w:r>
      <w:r w:rsidRPr="00890645">
        <w:t>萬</w:t>
      </w:r>
      <w:r w:rsidR="00F33345">
        <w:rPr>
          <w:rFonts w:hint="eastAsia"/>
        </w:rPr>
        <w:t>3千</w:t>
      </w:r>
      <w:r w:rsidRPr="00890645">
        <w:t>元，俟向立法院司法及法制委員會提出書面報告後，始得動支。</w:t>
      </w:r>
      <w:r w:rsidR="00F33345" w:rsidRPr="00890645">
        <w:t>【</w:t>
      </w:r>
      <w:r w:rsidR="00F33345">
        <w:rPr>
          <w:rFonts w:hint="eastAsia"/>
        </w:rPr>
        <w:t>40</w:t>
      </w:r>
      <w:r w:rsidR="00F33345" w:rsidRPr="00890645">
        <w:t>】</w:t>
      </w:r>
    </w:p>
    <w:p w14:paraId="58160FE0" w14:textId="65B441CD" w:rsidR="00890645" w:rsidRPr="00890645" w:rsidRDefault="00890645" w:rsidP="00F33345">
      <w:pPr>
        <w:pStyle w:val="21"/>
      </w:pPr>
      <w:r w:rsidRPr="00890645">
        <w:t>提案人：</w:t>
      </w:r>
      <w:r w:rsidR="00F33345" w:rsidRPr="00890645">
        <w:t>許宇甄</w:t>
      </w:r>
    </w:p>
    <w:p w14:paraId="616BF72A" w14:textId="0E4FFC40" w:rsidR="00890645" w:rsidRPr="00890645" w:rsidRDefault="00890645" w:rsidP="00F33345">
      <w:pPr>
        <w:pStyle w:val="21"/>
      </w:pPr>
      <w:r w:rsidRPr="00890645">
        <w:t>連署人：</w:t>
      </w:r>
      <w:r w:rsidR="00F33345" w:rsidRPr="00890645">
        <w:t>翁曉玲　林倩綺</w:t>
      </w:r>
    </w:p>
    <w:p w14:paraId="5DC6A92F" w14:textId="24BD9041" w:rsidR="00890645" w:rsidRPr="00890645" w:rsidRDefault="00890645" w:rsidP="00DE1767">
      <w:pPr>
        <w:pStyle w:val="1"/>
      </w:pPr>
      <w:r w:rsidRPr="00890645">
        <w:t>針對</w:t>
      </w:r>
      <w:r w:rsidR="002318B2" w:rsidRPr="00890645">
        <w:t>115年度</w:t>
      </w:r>
      <w:r w:rsidRPr="00890645">
        <w:t>國家安全會議</w:t>
      </w:r>
      <w:r w:rsidR="002318B2">
        <w:rPr>
          <w:rFonts w:hint="eastAsia"/>
        </w:rPr>
        <w:t>預算案</w:t>
      </w:r>
      <w:r w:rsidRPr="00890645">
        <w:t>於</w:t>
      </w:r>
      <w:r w:rsidR="002318B2">
        <w:rPr>
          <w:rFonts w:hint="eastAsia"/>
        </w:rPr>
        <w:t>第2目</w:t>
      </w:r>
      <w:r w:rsidRPr="00890645">
        <w:t>「諮詢研究業務」增列1,325萬餘元，總經費達3,385萬餘元，用於研處全社會防衛韌性及國內資源整備等事宜。為確保國安高層智庫之戰略研究能有效轉譯為基層公務體系與民眾可遵循之實戰指引，國家安全會議應提出具體之政策落地與跨部會演練規劃。115年度國家安全會議預算中，計畫內容明確包含研處全社會防衛韌性、國內資源整備、演練及國際合作事宜，以建構國人應變緊急災害能力。建構防衛韌性為當前國家生存發展之核心，然國家層級之戰略推演與國際諮詢成果，若未能有效向下扎根，將導致戰略大腦與地方神經末梢脫節，面對複合式災難或極端國安威脅，真正在第一線承受壓力者為地方政府、民生物資供應</w:t>
      </w:r>
      <w:r w:rsidRPr="00890645">
        <w:lastRenderedPageBreak/>
        <w:t>鏈及村里鄰長，國</w:t>
      </w:r>
      <w:r w:rsidR="002318B2">
        <w:rPr>
          <w:rFonts w:hint="eastAsia"/>
        </w:rPr>
        <w:t>家</w:t>
      </w:r>
      <w:r w:rsidRPr="00890645">
        <w:t>安</w:t>
      </w:r>
      <w:r w:rsidR="002318B2">
        <w:rPr>
          <w:rFonts w:hint="eastAsia"/>
        </w:rPr>
        <w:t>全</w:t>
      </w:r>
      <w:r w:rsidRPr="00890645">
        <w:t>會</w:t>
      </w:r>
      <w:r w:rsidR="002318B2">
        <w:rPr>
          <w:rFonts w:hint="eastAsia"/>
        </w:rPr>
        <w:t>議</w:t>
      </w:r>
      <w:r w:rsidRPr="00890645">
        <w:t>之研究成果應研議逐步化為基層可執行之韌性整備指標與備援作業程序。【43】</w:t>
      </w:r>
    </w:p>
    <w:p w14:paraId="295563C4" w14:textId="77777777" w:rsidR="00890645" w:rsidRPr="00890645" w:rsidRDefault="00890645" w:rsidP="00DE1767">
      <w:pPr>
        <w:pStyle w:val="21"/>
      </w:pPr>
      <w:r w:rsidRPr="00890645">
        <w:t>提案人：莊瑞雄</w:t>
      </w:r>
    </w:p>
    <w:p w14:paraId="4BE11B10" w14:textId="77777777" w:rsidR="00890645" w:rsidRPr="00890645" w:rsidRDefault="00890645" w:rsidP="00DE1767">
      <w:pPr>
        <w:pStyle w:val="21"/>
      </w:pPr>
      <w:r w:rsidRPr="00890645">
        <w:rPr>
          <w:rFonts w:hint="eastAsia"/>
          <w:kern w:val="0"/>
        </w:rPr>
        <w:t>連署人：范  雲  張雅琳</w:t>
      </w:r>
    </w:p>
    <w:p w14:paraId="15D80BE2" w14:textId="379FB029" w:rsidR="00890645" w:rsidRPr="00890645" w:rsidRDefault="002318B2" w:rsidP="00DE1767">
      <w:pPr>
        <w:pStyle w:val="1"/>
      </w:pPr>
      <w:r w:rsidRPr="00890645">
        <w:t>115年度</w:t>
      </w:r>
      <w:r w:rsidR="00890645" w:rsidRPr="00890645">
        <w:t>國家安全會議預算案於</w:t>
      </w:r>
      <w:r>
        <w:rPr>
          <w:rFonts w:hint="eastAsia"/>
        </w:rPr>
        <w:t>第1目</w:t>
      </w:r>
      <w:r w:rsidR="00890645" w:rsidRPr="00890645">
        <w:t>「一般行政」及</w:t>
      </w:r>
      <w:r>
        <w:rPr>
          <w:rFonts w:hint="eastAsia"/>
        </w:rPr>
        <w:t>第2目</w:t>
      </w:r>
      <w:r w:rsidR="00890645" w:rsidRPr="00890645">
        <w:t>「諮詢研究業務」項下「按日按件計資酬金」合計編列317萬1千元，主要用於法律諮詢、邀集學者專家出席研討國安議題及撰稿等支出。惟查該科目近年執行率明顯偏低，111至113年度執行率分別僅42.79%、29.21%及16.55%，114年度截至8月底亦僅8.29%，顯示預算編列與實際需求間存有明顯落差，恐影響政府資源運用效益。爰要求國家安全會議應依實際法律諮詢、國安議題研討、專家學者出席及撰稿需求，檢討「按日按件計資酬金」之編列基礎、執行方式及需求評估機制，並於3個月內向立法院司法及法制委員會提出書面報告，以撙節國庫支出。【44】</w:t>
      </w:r>
    </w:p>
    <w:p w14:paraId="1C4C9321" w14:textId="77777777" w:rsidR="00890645" w:rsidRPr="00890645" w:rsidRDefault="00890645" w:rsidP="00890645">
      <w:pPr>
        <w:snapToGrid w:val="0"/>
        <w:ind w:leftChars="1500" w:left="4776" w:hangingChars="420" w:hanging="1176"/>
        <w:jc w:val="both"/>
        <w:rPr>
          <w:rFonts w:ascii="標楷體" w:eastAsia="標楷體" w:hAnsi="標楷體"/>
          <w:color w:val="000000"/>
          <w:sz w:val="28"/>
          <w:szCs w:val="28"/>
        </w:rPr>
      </w:pPr>
      <w:r w:rsidRPr="00890645">
        <w:rPr>
          <w:rFonts w:ascii="標楷體" w:eastAsia="標楷體" w:hAnsi="標楷體"/>
          <w:color w:val="000000"/>
          <w:sz w:val="28"/>
          <w:szCs w:val="28"/>
        </w:rPr>
        <w:t>提案人：張雅琳</w:t>
      </w:r>
    </w:p>
    <w:p w14:paraId="40B50B0A" w14:textId="77777777" w:rsidR="00890645" w:rsidRPr="00890645" w:rsidRDefault="00890645" w:rsidP="00890645">
      <w:pPr>
        <w:pStyle w:val="21"/>
      </w:pPr>
      <w:r w:rsidRPr="00890645">
        <w:rPr>
          <w:rFonts w:hint="eastAsia"/>
        </w:rPr>
        <w:t>連署人：沈發惠  莊瑞雄</w:t>
      </w:r>
    </w:p>
    <w:p w14:paraId="3EBE5563" w14:textId="77777777" w:rsidR="00890645" w:rsidRPr="00890645" w:rsidRDefault="00890645" w:rsidP="00890645">
      <w:pPr>
        <w:snapToGrid w:val="0"/>
        <w:ind w:leftChars="150" w:left="1200" w:hangingChars="300" w:hanging="840"/>
        <w:jc w:val="both"/>
        <w:rPr>
          <w:rFonts w:ascii="標楷體" w:eastAsia="標楷體" w:hAnsi="標楷體"/>
          <w:color w:val="000000"/>
          <w:sz w:val="28"/>
          <w:szCs w:val="28"/>
        </w:rPr>
      </w:pPr>
      <w:r w:rsidRPr="00890645">
        <w:rPr>
          <w:rFonts w:ascii="標楷體" w:eastAsia="標楷體" w:hAnsi="標楷體"/>
          <w:color w:val="000000"/>
          <w:sz w:val="28"/>
          <w:szCs w:val="28"/>
        </w:rPr>
        <w:t>第3項 國史館2億5,173萬3千元，照列。</w:t>
      </w:r>
    </w:p>
    <w:p w14:paraId="66F7BFBB" w14:textId="533165E5" w:rsidR="00890645" w:rsidRPr="002949DE" w:rsidRDefault="00890645" w:rsidP="00890645">
      <w:pPr>
        <w:snapToGrid w:val="0"/>
        <w:ind w:leftChars="150" w:left="1201" w:hangingChars="300" w:hanging="841"/>
        <w:jc w:val="both"/>
        <w:rPr>
          <w:rFonts w:ascii="標楷體" w:eastAsia="標楷體" w:hAnsi="標楷體"/>
          <w:b/>
          <w:color w:val="000000"/>
          <w:sz w:val="28"/>
          <w:szCs w:val="28"/>
        </w:rPr>
      </w:pPr>
      <w:r w:rsidRPr="002949DE">
        <w:rPr>
          <w:rFonts w:ascii="標楷體" w:eastAsia="標楷體" w:hAnsi="標楷體"/>
          <w:b/>
          <w:sz w:val="28"/>
          <w:szCs w:val="28"/>
        </w:rPr>
        <w:t>本項通過決議</w:t>
      </w:r>
      <w:r w:rsidR="008111DB">
        <w:rPr>
          <w:rFonts w:ascii="標楷體" w:eastAsia="標楷體" w:hAnsi="標楷體" w:hint="eastAsia"/>
          <w:b/>
          <w:sz w:val="28"/>
          <w:szCs w:val="28"/>
        </w:rPr>
        <w:t>8</w:t>
      </w:r>
      <w:r w:rsidRPr="002949DE">
        <w:rPr>
          <w:rFonts w:ascii="標楷體" w:eastAsia="標楷體" w:hAnsi="標楷體"/>
          <w:b/>
          <w:sz w:val="28"/>
          <w:szCs w:val="28"/>
        </w:rPr>
        <w:t>項：</w:t>
      </w:r>
    </w:p>
    <w:p w14:paraId="49834D56" w14:textId="58A83F79" w:rsidR="00890645" w:rsidRPr="005A1BD6" w:rsidRDefault="00890645" w:rsidP="008111DB">
      <w:pPr>
        <w:pStyle w:val="a"/>
        <w:numPr>
          <w:ilvl w:val="0"/>
          <w:numId w:val="33"/>
        </w:numPr>
      </w:pPr>
      <w:r w:rsidRPr="00890645">
        <w:t>國</w:t>
      </w:r>
      <w:r w:rsidRPr="005A1BD6">
        <w:rPr>
          <w:rFonts w:hint="eastAsia"/>
        </w:rPr>
        <w:t>家</w:t>
      </w:r>
      <w:r w:rsidRPr="005A1BD6">
        <w:t>安</w:t>
      </w:r>
      <w:r w:rsidRPr="005A1BD6">
        <w:rPr>
          <w:rFonts w:hint="eastAsia"/>
        </w:rPr>
        <w:t>全</w:t>
      </w:r>
      <w:r w:rsidRPr="005A1BD6">
        <w:t>局在2026</w:t>
      </w:r>
      <w:r w:rsidRPr="005A1BD6">
        <w:rPr>
          <w:rFonts w:hint="eastAsia"/>
        </w:rPr>
        <w:t>年2</w:t>
      </w:r>
      <w:r w:rsidRPr="005A1BD6">
        <w:t>月移轉了5</w:t>
      </w:r>
      <w:r w:rsidR="00376CA8" w:rsidRPr="005A1BD6">
        <w:rPr>
          <w:rFonts w:hint="eastAsia"/>
        </w:rPr>
        <w:t>萬</w:t>
      </w:r>
      <w:r w:rsidRPr="005A1BD6">
        <w:t>1,133筆政治檔案給國家</w:t>
      </w:r>
      <w:r w:rsidRPr="005A1BD6">
        <w:rPr>
          <w:rFonts w:hint="eastAsia"/>
        </w:rPr>
        <w:t>發展委員會</w:t>
      </w:r>
      <w:r w:rsidRPr="005A1BD6">
        <w:t>檔案</w:t>
      </w:r>
      <w:r w:rsidRPr="005A1BD6">
        <w:rPr>
          <w:rFonts w:hint="eastAsia"/>
        </w:rPr>
        <w:t>管理</w:t>
      </w:r>
      <w:r w:rsidRPr="005A1BD6">
        <w:t>局，由國安局累計移交的檔案計14萬</w:t>
      </w:r>
      <w:r w:rsidRPr="005A1BD6">
        <w:rPr>
          <w:rFonts w:hint="eastAsia"/>
        </w:rPr>
        <w:t>0,</w:t>
      </w:r>
      <w:r w:rsidRPr="005A1BD6">
        <w:t>758件，經過向檔案局的了解，最遲會在</w:t>
      </w:r>
      <w:r w:rsidR="008111DB" w:rsidRPr="005A1BD6">
        <w:rPr>
          <w:rFonts w:hint="eastAsia"/>
        </w:rPr>
        <w:t>2026</w:t>
      </w:r>
      <w:r w:rsidR="008111DB" w:rsidRPr="005A1BD6">
        <w:t>年</w:t>
      </w:r>
      <w:r w:rsidR="008111DB" w:rsidRPr="005A1BD6">
        <w:rPr>
          <w:rFonts w:hint="eastAsia"/>
        </w:rPr>
        <w:t>5</w:t>
      </w:r>
      <w:r w:rsidRPr="005A1BD6">
        <w:t>月開放查閱最新移轉這批檔案的「目錄」。</w:t>
      </w:r>
    </w:p>
    <w:p w14:paraId="4D3AC55E" w14:textId="77777777" w:rsidR="00890645" w:rsidRPr="005A1BD6" w:rsidRDefault="00890645" w:rsidP="008111DB">
      <w:pPr>
        <w:pStyle w:val="10"/>
      </w:pPr>
      <w:r w:rsidRPr="005A1BD6">
        <w:t>然而，如何開放應用，如何解讀，其實是個浩大而且專業的工程。目前，政治檔案研究主要由國家人權博物館主導，不過，針對是否有足夠人力去彙整、研究這批政治檔案，前二二八事件紀念基金會董事長薛化元教授就明確指出，「目前國內來講，檔案局是有非常專業的檔案整理，可是在研究方面，研究能力最強的是國史館。」因此，薛教授就建議政府應該考慮讓國史館加入對政治檔案的研究。</w:t>
      </w:r>
    </w:p>
    <w:p w14:paraId="62B27AEB" w14:textId="77777777" w:rsidR="00890645" w:rsidRPr="005A1BD6" w:rsidRDefault="00890645" w:rsidP="008111DB">
      <w:pPr>
        <w:pStyle w:val="10"/>
      </w:pPr>
      <w:r w:rsidRPr="005A1BD6">
        <w:t>目前，國史館的定位聚焦在修纂國史與總統文物，在政治檔案上的角色主要是管理與移轉，而非核心研究機構。不過就薛教授的觀點來看，應該讓檔案研讀能力強的國史館一起加入「研究其他機關移轉之政治檔案」的行列，希望能藉此加速政治檔案應用與後續教育推廣。爰建請國史館研議擴大自身之研究角色，協助補強政治檔案的研究量能。並建請國史館於3個月內向提案委員及立法院司法及法制委員會提出書面報告。【45】</w:t>
      </w:r>
    </w:p>
    <w:p w14:paraId="7422660E" w14:textId="77777777" w:rsidR="00890645" w:rsidRPr="005A1BD6" w:rsidRDefault="00890645" w:rsidP="008111DB">
      <w:pPr>
        <w:pStyle w:val="21"/>
      </w:pPr>
      <w:r w:rsidRPr="005A1BD6">
        <w:lastRenderedPageBreak/>
        <w:t xml:space="preserve">提案人：張雅琳　</w:t>
      </w:r>
      <w:r w:rsidRPr="005A1BD6">
        <w:rPr>
          <w:rFonts w:hint="eastAsia"/>
        </w:rPr>
        <w:t>林宜瑾</w:t>
      </w:r>
    </w:p>
    <w:p w14:paraId="6C3FB327" w14:textId="77777777" w:rsidR="008111DB" w:rsidRPr="005A1BD6" w:rsidRDefault="00890645" w:rsidP="008111DB">
      <w:pPr>
        <w:pStyle w:val="21"/>
      </w:pPr>
      <w:r w:rsidRPr="005A1BD6">
        <w:t>連署人：</w:t>
      </w:r>
      <w:r w:rsidRPr="005A1BD6">
        <w:rPr>
          <w:rFonts w:hint="eastAsia"/>
        </w:rPr>
        <w:t>沈發惠</w:t>
      </w:r>
      <w:r w:rsidRPr="005A1BD6">
        <w:t xml:space="preserve">　</w:t>
      </w:r>
      <w:r w:rsidRPr="005A1BD6">
        <w:rPr>
          <w:rFonts w:hint="eastAsia"/>
        </w:rPr>
        <w:t>范</w:t>
      </w:r>
      <w:r w:rsidRPr="005A1BD6">
        <w:t xml:space="preserve">　</w:t>
      </w:r>
      <w:r w:rsidRPr="005A1BD6">
        <w:rPr>
          <w:rFonts w:hint="eastAsia"/>
        </w:rPr>
        <w:t>雲</w:t>
      </w:r>
      <w:r w:rsidRPr="005A1BD6">
        <w:t xml:space="preserve">　</w:t>
      </w:r>
      <w:r w:rsidRPr="005A1BD6">
        <w:rPr>
          <w:rFonts w:hint="eastAsia"/>
        </w:rPr>
        <w:t>陳素月</w:t>
      </w:r>
    </w:p>
    <w:p w14:paraId="59D1081E" w14:textId="69F161BE" w:rsidR="00890645" w:rsidRPr="005A1BD6" w:rsidRDefault="00890645" w:rsidP="008111DB">
      <w:pPr>
        <w:pStyle w:val="1"/>
      </w:pPr>
      <w:r w:rsidRPr="005A1BD6">
        <w:t>有鑑於國史館典藏大量珍貴歷史檔案與文獻史料，為保存重要文化資產、避免原件因年代久遠產生劣化毀損，並提升史料保存、安全維護及公共近用價值，近年已積極推動館藏檔案史料數位化作業，除編列公務預算經費持續辦理外，相關成果亦已成為國內外研究臺灣史重要基礎。</w:t>
      </w:r>
    </w:p>
    <w:p w14:paraId="4331435C" w14:textId="3B84FE21" w:rsidR="00890645" w:rsidRPr="005A1BD6" w:rsidRDefault="00890645" w:rsidP="008111DB">
      <w:pPr>
        <w:pStyle w:val="10"/>
      </w:pPr>
      <w:r w:rsidRPr="005A1BD6">
        <w:t>惟部分史料仍面臨紙張脆化、檔案磚化、裱褙修復量能不足及數位化進度尚待提升等問題，且數位成果之公共應用與教育推廣仍有精進空間。</w:t>
      </w:r>
    </w:p>
    <w:p w14:paraId="53F1FFCE" w14:textId="01915C31" w:rsidR="00890645" w:rsidRPr="005A1BD6" w:rsidRDefault="00890645" w:rsidP="008111DB">
      <w:pPr>
        <w:pStyle w:val="10"/>
      </w:pPr>
      <w:r w:rsidRPr="005A1BD6">
        <w:t>爰此，建請國史館持續強化館藏史料數位化及修復保存工作，提出具體規劃與執行進度，並於</w:t>
      </w:r>
      <w:r w:rsidRPr="005A1BD6">
        <w:rPr>
          <w:rFonts w:hint="eastAsia"/>
        </w:rPr>
        <w:t>3</w:t>
      </w:r>
      <w:r w:rsidRPr="005A1BD6">
        <w:t>個月內向</w:t>
      </w:r>
      <w:r w:rsidRPr="005A1BD6">
        <w:rPr>
          <w:rFonts w:hint="eastAsia"/>
        </w:rPr>
        <w:t>立法院</w:t>
      </w:r>
      <w:r w:rsidRPr="005A1BD6">
        <w:t>司法及法制委員會提出書面報告。【4</w:t>
      </w:r>
      <w:r w:rsidRPr="005A1BD6">
        <w:rPr>
          <w:rFonts w:hint="eastAsia"/>
        </w:rPr>
        <w:t>6</w:t>
      </w:r>
      <w:r w:rsidRPr="005A1BD6">
        <w:t>】</w:t>
      </w:r>
    </w:p>
    <w:p w14:paraId="05EF6472"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提案人：莊瑞雄</w:t>
      </w:r>
    </w:p>
    <w:p w14:paraId="4BED1E63" w14:textId="77777777" w:rsidR="00890645" w:rsidRPr="005A1BD6" w:rsidRDefault="00890645" w:rsidP="00890645">
      <w:pPr>
        <w:pStyle w:val="21"/>
      </w:pPr>
      <w:r w:rsidRPr="005A1BD6">
        <w:rPr>
          <w:rFonts w:hint="eastAsia"/>
        </w:rPr>
        <w:t>連署人：范  雲  張雅琳</w:t>
      </w:r>
    </w:p>
    <w:p w14:paraId="62B3A5E9" w14:textId="77777777" w:rsidR="00890645" w:rsidRPr="005A1BD6" w:rsidRDefault="00890645" w:rsidP="008111DB">
      <w:pPr>
        <w:pStyle w:val="1"/>
      </w:pPr>
      <w:r w:rsidRPr="005A1BD6">
        <w:t>115年度國史館持續推動「歷任總統資料庫」及相關史料研究計畫，包含蔣中正、蔣經國、李登輝及嚴家淦等總統資料庫建置、全文文本分析與系統維護等工作，並辦理相關史料彙編、學術研究及推廣活動。惟查各資料庫間之系統整合、資料標準化、多元史料交互比對及國際研究應用等面向，仍有進一步整合與強化空間，以提升歷史研究公共近用與學術應用效益。</w:t>
      </w:r>
    </w:p>
    <w:p w14:paraId="20F0D5B4" w14:textId="65F2ACFA" w:rsidR="00890645" w:rsidRPr="005A1BD6" w:rsidRDefault="00890645" w:rsidP="008111DB">
      <w:pPr>
        <w:pStyle w:val="10"/>
      </w:pPr>
      <w:r w:rsidRPr="005A1BD6">
        <w:t>爰請國史館，針對「歷任總統資料庫」整體規劃、資料整合機制、全文文本分析應用、跨資料庫檢索功能及未來國際學術交流推動方向，於3個月內向立法院司法及法制委員會提出書面報告。【47】</w:t>
      </w:r>
    </w:p>
    <w:p w14:paraId="5243301C"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提案人：沈發惠</w:t>
      </w:r>
    </w:p>
    <w:p w14:paraId="76997437" w14:textId="77777777" w:rsidR="00890645" w:rsidRPr="005A1BD6" w:rsidRDefault="00890645" w:rsidP="00890645">
      <w:pPr>
        <w:pStyle w:val="21"/>
      </w:pPr>
      <w:r w:rsidRPr="005A1BD6">
        <w:rPr>
          <w:rFonts w:hint="eastAsia"/>
        </w:rPr>
        <w:t>連署人：張雅琳  莊瑞雄</w:t>
      </w:r>
    </w:p>
    <w:p w14:paraId="780C5E35" w14:textId="77777777" w:rsidR="00890645" w:rsidRPr="005A1BD6" w:rsidRDefault="00890645" w:rsidP="008111DB">
      <w:pPr>
        <w:pStyle w:val="1"/>
      </w:pPr>
      <w:r w:rsidRPr="005A1BD6">
        <w:t>115年度國史館編列預算辦理總統副總統文物蒐集、典藏保存、庫房管理及相關設備維護等業務。惟查近年館藏文物數量持續增加，並陸續辦理庫房冷氣、消防、監視及溫濕度控制系統等更新工程，顯示文物典藏環境維護及庫房安全管理需求日益提高。然相關典藏環境監測、設備更新週期、災害應變機制及文物保存風險管理等事項，仍有持續檢討強化必要。</w:t>
      </w:r>
    </w:p>
    <w:p w14:paraId="0D871DC1" w14:textId="0FDCDC0F" w:rsidR="00890645" w:rsidRPr="005A1BD6" w:rsidRDefault="00890645" w:rsidP="008111DB">
      <w:pPr>
        <w:pStyle w:val="10"/>
      </w:pPr>
      <w:r w:rsidRPr="005A1BD6">
        <w:t>爰請國史館，針對總統副總統文物典藏環境維護、庫房安全管理、溫濕度控制設備更新、消防防災機制及文物保存風險管理等事項，於3個月內向立法院司法及法制委員會提出書面報告。【48】</w:t>
      </w:r>
    </w:p>
    <w:p w14:paraId="138D2A64"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lastRenderedPageBreak/>
        <w:t>提案人：沈發惠</w:t>
      </w:r>
    </w:p>
    <w:p w14:paraId="299FF76D" w14:textId="77777777" w:rsidR="00890645" w:rsidRPr="005A1BD6" w:rsidRDefault="00890645" w:rsidP="00890645">
      <w:pPr>
        <w:pStyle w:val="21"/>
      </w:pPr>
      <w:r w:rsidRPr="005A1BD6">
        <w:rPr>
          <w:rFonts w:hint="eastAsia"/>
        </w:rPr>
        <w:t>連署人：張雅琳  莊瑞雄</w:t>
      </w:r>
    </w:p>
    <w:p w14:paraId="78E3D3CE" w14:textId="55150CE7" w:rsidR="00890645" w:rsidRPr="005A1BD6" w:rsidRDefault="00890645" w:rsidP="008111DB">
      <w:pPr>
        <w:pStyle w:val="1"/>
      </w:pPr>
      <w:r w:rsidRPr="005A1BD6">
        <w:t>115年度國史館</w:t>
      </w:r>
      <w:r w:rsidR="00376CA8" w:rsidRPr="005A1BD6">
        <w:rPr>
          <w:rFonts w:hint="eastAsia"/>
        </w:rPr>
        <w:t>預算案</w:t>
      </w:r>
      <w:r w:rsidRPr="005A1BD6">
        <w:t>於</w:t>
      </w:r>
      <w:r w:rsidR="00376CA8" w:rsidRPr="005A1BD6">
        <w:rPr>
          <w:rFonts w:hint="eastAsia"/>
        </w:rPr>
        <w:t>第2目</w:t>
      </w:r>
      <w:r w:rsidRPr="005A1BD6">
        <w:t>「檔案文物管理與編纂」計畫編列相關預算，辦理檔案史料整理編目、數位化、查詢系統建置及數位檔開放閱覽等業務。惟查近年館藏數位檔案數量與系統使用人次持續增加，檔案數位化、全文文本分析及資料庫擴充等工作亦逐步推展，然對於數位化優先順序、權利盤點、數位保存機制、系統穩定性及後續開放應用效益等，仍有持續精進空間。</w:t>
      </w:r>
    </w:p>
    <w:p w14:paraId="5741836A" w14:textId="4C6E794F" w:rsidR="00890645" w:rsidRPr="005A1BD6" w:rsidRDefault="00890645" w:rsidP="008111DB">
      <w:pPr>
        <w:pStyle w:val="10"/>
      </w:pPr>
      <w:r w:rsidRPr="005A1BD6">
        <w:t>爰請國史館，針對館藏檔案史料數位化推動情形、開放應用成果、數位保存機制、權利盤點進度及後續精進規劃，於3個月內向立法院司法及法制委員會提出書面報告。【49】</w:t>
      </w:r>
    </w:p>
    <w:p w14:paraId="075B63D6"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提案人：沈發惠</w:t>
      </w:r>
    </w:p>
    <w:p w14:paraId="5811B28D" w14:textId="77777777" w:rsidR="00890645" w:rsidRPr="005A1BD6" w:rsidRDefault="00890645" w:rsidP="00890645">
      <w:pPr>
        <w:pStyle w:val="21"/>
      </w:pPr>
      <w:r w:rsidRPr="005A1BD6">
        <w:rPr>
          <w:rFonts w:hint="eastAsia"/>
        </w:rPr>
        <w:t>連署人：張雅琳  莊瑞雄</w:t>
      </w:r>
    </w:p>
    <w:p w14:paraId="39FBB2B3" w14:textId="1DEE164D" w:rsidR="00890645" w:rsidRPr="005A1BD6" w:rsidRDefault="00890645" w:rsidP="00D23631">
      <w:pPr>
        <w:pStyle w:val="1"/>
      </w:pPr>
      <w:r w:rsidRPr="005A1BD6">
        <w:t>115年度國史館預算案於</w:t>
      </w:r>
      <w:r w:rsidR="00D23631" w:rsidRPr="005A1BD6">
        <w:rPr>
          <w:rFonts w:hint="eastAsia"/>
        </w:rPr>
        <w:t>第1目</w:t>
      </w:r>
      <w:r w:rsidRPr="005A1BD6">
        <w:t>「一般行政</w:t>
      </w:r>
      <w:r w:rsidRPr="005A1BD6">
        <w:rPr>
          <w:rFonts w:hint="eastAsia"/>
        </w:rPr>
        <w:t>」項下「</w:t>
      </w:r>
      <w:r w:rsidRPr="005A1BD6">
        <w:t>基本行政工作維持」，新增辦理臺北市直轄市定古蹟「臺灣總督府交通局遞信部」修復再利用計畫，並編列第1年經費2,229萬6千元，該計畫期程自115至118年度，總經費達2億7,031萬6千元。惟國史館臺北館區近年因古蹟外牆年久失修、磁磚浮凸剝落、外牆滲水、排水系統不良、白蟻蟲蛀及空調設備效能不足等問題，已衍生公共安全、典藏環境及辦公使用機能疑慮；另該計畫工程範圍涵蓋外牆、屋頂、力霸鋼架、室內地坪、天花</w:t>
      </w:r>
      <w:r w:rsidR="00376CA8" w:rsidRPr="005A1BD6">
        <w:rPr>
          <w:rFonts w:hint="eastAsia"/>
        </w:rPr>
        <w:t>板</w:t>
      </w:r>
      <w:r w:rsidRPr="005A1BD6">
        <w:t>、牆體、門窗、景觀及照明改善等項目，期程長達4年，施工期間亦將影響館舍使用、參觀動線及國家重要史料文物保存環境。</w:t>
      </w:r>
    </w:p>
    <w:p w14:paraId="080350F3" w14:textId="3B04122C" w:rsidR="00890645" w:rsidRPr="005A1BD6" w:rsidRDefault="00890645" w:rsidP="00D23631">
      <w:pPr>
        <w:pStyle w:val="10"/>
      </w:pPr>
      <w:r w:rsidRPr="005A1BD6">
        <w:t>鑑於國史館為我國最高史料保存機關，並負責總統、副總統文物保存，該建物本身亦具市定古蹟身分，兼具文化資產保存、公共安全及公共使用利益，爰要求國史館應依</w:t>
      </w:r>
      <w:r w:rsidR="00376CA8" w:rsidRPr="005A1BD6">
        <w:rPr>
          <w:rFonts w:hint="eastAsia"/>
        </w:rPr>
        <w:t>「</w:t>
      </w:r>
      <w:r w:rsidRPr="005A1BD6">
        <w:t>文化資產保存法</w:t>
      </w:r>
      <w:r w:rsidR="00376CA8" w:rsidRPr="005A1BD6">
        <w:rPr>
          <w:rFonts w:hint="eastAsia"/>
        </w:rPr>
        <w:t>」</w:t>
      </w:r>
      <w:r w:rsidRPr="005A1BD6">
        <w:t>等相關規範，妥善規劃工程前置作業、施工安全、典藏文物保護、參觀動線調整、館務維持及分年進度管控機制，並於</w:t>
      </w:r>
      <w:r w:rsidRPr="005A1BD6">
        <w:rPr>
          <w:rFonts w:hint="eastAsia"/>
        </w:rPr>
        <w:t>3</w:t>
      </w:r>
      <w:r w:rsidRPr="005A1BD6">
        <w:t>個月內向立法院司法及法制委員會提出書面報告，以確保修復再利用計畫如期如質完成，維護古蹟價值、國家文物安全及公共使用利益。【</w:t>
      </w:r>
      <w:r w:rsidRPr="005A1BD6">
        <w:rPr>
          <w:rFonts w:hint="eastAsia"/>
        </w:rPr>
        <w:t>50</w:t>
      </w:r>
      <w:r w:rsidRPr="005A1BD6">
        <w:t>】</w:t>
      </w:r>
    </w:p>
    <w:p w14:paraId="02453E8B"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提案人：張雅琳</w:t>
      </w:r>
    </w:p>
    <w:p w14:paraId="357CF9D1" w14:textId="77777777" w:rsidR="00890645" w:rsidRPr="005A1BD6" w:rsidRDefault="00890645" w:rsidP="00890645">
      <w:pPr>
        <w:pStyle w:val="21"/>
      </w:pPr>
      <w:r w:rsidRPr="005A1BD6">
        <w:rPr>
          <w:rFonts w:hint="eastAsia"/>
        </w:rPr>
        <w:t>連署人：沈發惠  莊瑞雄</w:t>
      </w:r>
    </w:p>
    <w:p w14:paraId="16889DEC" w14:textId="55F34DBB" w:rsidR="00890645" w:rsidRPr="005A1BD6" w:rsidRDefault="00376CA8" w:rsidP="00D23631">
      <w:pPr>
        <w:pStyle w:val="1"/>
      </w:pPr>
      <w:r w:rsidRPr="005A1BD6">
        <w:t>115年度</w:t>
      </w:r>
      <w:r w:rsidR="00890645" w:rsidRPr="005A1BD6">
        <w:t>國史館預算案於</w:t>
      </w:r>
      <w:r w:rsidRPr="005A1BD6">
        <w:rPr>
          <w:rFonts w:hint="eastAsia"/>
        </w:rPr>
        <w:t>第2目</w:t>
      </w:r>
      <w:r w:rsidR="00890645" w:rsidRPr="005A1BD6">
        <w:t>「檔案文物管理與編纂</w:t>
      </w:r>
      <w:r w:rsidR="00890645" w:rsidRPr="005A1BD6">
        <w:rPr>
          <w:rFonts w:hint="eastAsia"/>
        </w:rPr>
        <w:t>」項下「</w:t>
      </w:r>
      <w:r w:rsidR="00890645" w:rsidRPr="005A1BD6">
        <w:t>檔案管理應用」編列相關經費，用以辦理檔案史料數位化及轉製作業，惟截至114年8月底止，國史館已整編館藏檔案資</w:t>
      </w:r>
      <w:r w:rsidR="00890645" w:rsidRPr="005A1BD6">
        <w:lastRenderedPageBreak/>
        <w:t>料中，仍有18萬6,172卷尚未完成數位掃描，占已整編館藏36.58%，顯示館藏史料數位化作業仍有相當進度待加速推動；且115年度「檔案管理應用」相關經費較114年度減少45.25%，恐不利國家重要史料之長期保存與永續利用。鑑於館藏文獻年代久遠，並可能受自然毀耗、酸化或保存環境影響而增加損壞及劣化風險。</w:t>
      </w:r>
    </w:p>
    <w:p w14:paraId="121F2CCC" w14:textId="28CE8F23" w:rsidR="00890645" w:rsidRPr="005A1BD6" w:rsidRDefault="00890645" w:rsidP="00D23631">
      <w:pPr>
        <w:pStyle w:val="10"/>
      </w:pPr>
      <w:r w:rsidRPr="005A1BD6">
        <w:t>爰要求國史館應秉持專業與審慎原則，加速推動館藏檔案數位化作業，針對館藏檔案數位化之優先順序、分年推動目標、保存規格、人力及經費需求、風險管理機制，以及後續公開應用與加值利用規劃，以確保國家重要史料之完整保存、永續典藏及公共利用，請於</w:t>
      </w:r>
      <w:r w:rsidRPr="005A1BD6">
        <w:rPr>
          <w:rFonts w:hint="eastAsia"/>
        </w:rPr>
        <w:t>3</w:t>
      </w:r>
      <w:r w:rsidRPr="005A1BD6">
        <w:t>個月內向立法院司法及法制委員會提出書面報告</w:t>
      </w:r>
      <w:r w:rsidRPr="005A1BD6">
        <w:rPr>
          <w:rFonts w:hint="eastAsia"/>
        </w:rPr>
        <w:t>。</w:t>
      </w:r>
      <w:r w:rsidRPr="005A1BD6">
        <w:t>【</w:t>
      </w:r>
      <w:r w:rsidRPr="005A1BD6">
        <w:rPr>
          <w:rFonts w:hint="eastAsia"/>
        </w:rPr>
        <w:t>51</w:t>
      </w:r>
      <w:r w:rsidRPr="005A1BD6">
        <w:t>】</w:t>
      </w:r>
    </w:p>
    <w:p w14:paraId="51063B37"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提案人：張雅琳</w:t>
      </w:r>
    </w:p>
    <w:p w14:paraId="771A9427" w14:textId="77777777" w:rsidR="00890645" w:rsidRPr="005A1BD6" w:rsidRDefault="00890645" w:rsidP="00890645">
      <w:pPr>
        <w:pStyle w:val="21"/>
      </w:pPr>
      <w:r w:rsidRPr="005A1BD6">
        <w:rPr>
          <w:rFonts w:hint="eastAsia"/>
        </w:rPr>
        <w:t>連署人：沈發惠  莊瑞雄</w:t>
      </w:r>
    </w:p>
    <w:p w14:paraId="51B2A0F1" w14:textId="794967F5" w:rsidR="00890645" w:rsidRPr="005A1BD6" w:rsidRDefault="00890645" w:rsidP="00D23631">
      <w:pPr>
        <w:pStyle w:val="1"/>
      </w:pPr>
      <w:r w:rsidRPr="005A1BD6">
        <w:t>115年度國史館</w:t>
      </w:r>
      <w:r w:rsidR="00D23631" w:rsidRPr="005A1BD6">
        <w:t>預算案</w:t>
      </w:r>
      <w:r w:rsidRPr="005A1BD6">
        <w:t>於</w:t>
      </w:r>
      <w:r w:rsidR="00D23631" w:rsidRPr="005A1BD6">
        <w:rPr>
          <w:rFonts w:hint="eastAsia"/>
        </w:rPr>
        <w:t>第2目</w:t>
      </w:r>
      <w:r w:rsidRPr="005A1BD6">
        <w:t>「檔案文物管理與編纂」編列3,056萬4千元，計畫內容包括各類檔案史料及書刊之採集、整理、數位化、修裱、典藏，館藏分類、編目、資料庫建置，以及重要檔案史料彙編、口述訪談紀錄、史事專題研究等史學專書與學術期刊之編輯出版；其預期成果亦包括透過資訊網路開放國家重要檔案史料供各界查詢、閱覽應用，並編輯出版檔案史料彙編、專著及學術期刊，提供各界參考。</w:t>
      </w:r>
    </w:p>
    <w:p w14:paraId="4CD5124B" w14:textId="01F312A3" w:rsidR="00890645" w:rsidRPr="005A1BD6" w:rsidRDefault="00890645" w:rsidP="00D23631">
      <w:pPr>
        <w:pStyle w:val="10"/>
      </w:pPr>
      <w:r w:rsidRPr="005A1BD6">
        <w:t>又國史館近年已具備整理白色恐怖、戰後政治案件及民主化相關史料之基礎。依115年度預算書所載，國史館刻正辦理《戰後臺灣政治案件—臺灣獨立聯盟史料彙編》、《戰後臺灣政治案件—臺灣基督長老教會相關案件史料彙編》、《戰後臺灣政治案件—鄭南榕案史料彙編》、《二二八事件檔案彙編》、《國內安全委員會檔案選編》及《美國國會與臺灣民主發展史料選譯》等編纂作業，顯示國史館確有參與政治案件、威權統治、國家安全體制及民主化歷程相關史料之整理與出版工作。</w:t>
      </w:r>
    </w:p>
    <w:p w14:paraId="252BB1CC" w14:textId="3E27402E" w:rsidR="00890645" w:rsidRPr="005A1BD6" w:rsidRDefault="00890645" w:rsidP="00D23631">
      <w:pPr>
        <w:pStyle w:val="10"/>
      </w:pPr>
      <w:r w:rsidRPr="005A1BD6">
        <w:t>惟白色恐怖、戒嚴體制及戰後政治案件相關史料散見於國史館、國家發展委員會檔案管理局及其他政府機關與民間收藏之中，若僅以個別史料彙編或單一出版計畫方式推動，恐難以完整呈現威權統治體制如何透過情治、警政、軍事審判、校園監控、海外監控及地方行政網絡運作，亦不利於後續研究、公共教育及社會理解。</w:t>
      </w:r>
    </w:p>
    <w:p w14:paraId="18509DD4" w14:textId="4BA5FE9A" w:rsidR="00890645" w:rsidRPr="005A1BD6" w:rsidRDefault="00890645" w:rsidP="00D23631">
      <w:pPr>
        <w:pStyle w:val="10"/>
      </w:pPr>
      <w:r w:rsidRPr="005A1BD6">
        <w:t>爰要求國史館於</w:t>
      </w:r>
      <w:r w:rsidRPr="005A1BD6">
        <w:rPr>
          <w:rFonts w:hint="eastAsia"/>
        </w:rPr>
        <w:t>3</w:t>
      </w:r>
      <w:r w:rsidRPr="005A1BD6">
        <w:t>個月內，就115年度「檔案文物管理與</w:t>
      </w:r>
      <w:r w:rsidRPr="005A1BD6">
        <w:lastRenderedPageBreak/>
        <w:t>編纂」項下涉及威權統治、政治案件、戒嚴體制及國家暴力相關史料之整理、數位化、開放應用及研究出版情形進行盤點，並研議後續可優先推動之工作項目，向立法院司法及法制委員會提出書面報告。【</w:t>
      </w:r>
      <w:r w:rsidRPr="005A1BD6">
        <w:rPr>
          <w:rFonts w:hint="eastAsia"/>
        </w:rPr>
        <w:t>52</w:t>
      </w:r>
      <w:r w:rsidRPr="005A1BD6">
        <w:t>】</w:t>
      </w:r>
    </w:p>
    <w:p w14:paraId="67C382C3"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提案人：張雅琳</w:t>
      </w:r>
    </w:p>
    <w:p w14:paraId="527C6E3F" w14:textId="77777777" w:rsidR="00890645" w:rsidRPr="005A1BD6" w:rsidRDefault="00890645" w:rsidP="00890645">
      <w:pPr>
        <w:pStyle w:val="21"/>
      </w:pPr>
      <w:r w:rsidRPr="005A1BD6">
        <w:rPr>
          <w:rFonts w:hint="eastAsia"/>
        </w:rPr>
        <w:t>連署人：沈發惠  莊瑞雄</w:t>
      </w:r>
    </w:p>
    <w:p w14:paraId="75148681" w14:textId="77777777" w:rsidR="00890645" w:rsidRPr="005A1BD6" w:rsidRDefault="00890645" w:rsidP="00890645">
      <w:pPr>
        <w:snapToGrid w:val="0"/>
        <w:ind w:leftChars="150" w:left="1200" w:hangingChars="300" w:hanging="840"/>
        <w:jc w:val="both"/>
        <w:rPr>
          <w:rFonts w:ascii="標楷體" w:eastAsia="標楷體" w:hAnsi="標楷體"/>
          <w:color w:val="000000"/>
          <w:sz w:val="28"/>
          <w:szCs w:val="28"/>
        </w:rPr>
      </w:pPr>
      <w:r w:rsidRPr="005A1BD6">
        <w:rPr>
          <w:rFonts w:ascii="標楷體" w:eastAsia="標楷體" w:hAnsi="標楷體"/>
          <w:color w:val="000000"/>
          <w:sz w:val="28"/>
          <w:szCs w:val="28"/>
        </w:rPr>
        <w:t>第4項 國史館臺灣文獻館1億2,622萬2千元，照列。</w:t>
      </w:r>
    </w:p>
    <w:p w14:paraId="01F7D02E" w14:textId="3868760C" w:rsidR="00890645" w:rsidRPr="005A1BD6" w:rsidRDefault="00890645" w:rsidP="00890645">
      <w:pPr>
        <w:snapToGrid w:val="0"/>
        <w:ind w:leftChars="150" w:left="1201" w:hangingChars="300" w:hanging="841"/>
        <w:jc w:val="both"/>
        <w:rPr>
          <w:rFonts w:ascii="標楷體" w:eastAsia="標楷體" w:hAnsi="標楷體"/>
          <w:b/>
          <w:color w:val="000000"/>
          <w:sz w:val="28"/>
          <w:szCs w:val="28"/>
        </w:rPr>
      </w:pPr>
      <w:r w:rsidRPr="005A1BD6">
        <w:rPr>
          <w:rFonts w:ascii="標楷體" w:eastAsia="標楷體" w:hAnsi="標楷體"/>
          <w:b/>
          <w:sz w:val="28"/>
          <w:szCs w:val="28"/>
        </w:rPr>
        <w:t>本項通過決議</w:t>
      </w:r>
      <w:r w:rsidR="00CB36E4" w:rsidRPr="005A1BD6">
        <w:rPr>
          <w:rFonts w:ascii="標楷體" w:eastAsia="標楷體" w:hAnsi="標楷體" w:hint="eastAsia"/>
          <w:b/>
          <w:sz w:val="28"/>
          <w:szCs w:val="28"/>
        </w:rPr>
        <w:t>6</w:t>
      </w:r>
      <w:r w:rsidRPr="005A1BD6">
        <w:rPr>
          <w:rFonts w:ascii="標楷體" w:eastAsia="標楷體" w:hAnsi="標楷體"/>
          <w:b/>
          <w:sz w:val="28"/>
          <w:szCs w:val="28"/>
        </w:rPr>
        <w:t>項：</w:t>
      </w:r>
    </w:p>
    <w:p w14:paraId="1AFA2A70" w14:textId="77777777" w:rsidR="00890645" w:rsidRPr="005A1BD6" w:rsidRDefault="00890645" w:rsidP="00610058">
      <w:pPr>
        <w:pStyle w:val="a"/>
        <w:numPr>
          <w:ilvl w:val="0"/>
          <w:numId w:val="34"/>
        </w:numPr>
      </w:pPr>
      <w:r w:rsidRPr="005A1BD6">
        <w:t>鑑於國史館臺灣文獻館典藏之「臺灣總督府檔案」、「臺灣總督府專賣局公文類纂」及「臺灣拓殖株式會社文書」等重要史料，完整記錄日治時期臺灣之政治、經濟、財稅、教育、司法、產業及殖民政策發展歷程，具有高度歷史、文化及研究價值。近年相關檔案數位化成果已具相當成效，惟目前多以學術研究使用為主，一般民眾仍普遍面臨閱讀門檻高、歷史脈絡不易理解等問題，致珍貴史料與社會大眾間仍有距離。</w:t>
      </w:r>
    </w:p>
    <w:p w14:paraId="0A3AC73C" w14:textId="66166106" w:rsidR="00890645" w:rsidRPr="005A1BD6" w:rsidRDefault="00890645" w:rsidP="003904BA">
      <w:pPr>
        <w:pStyle w:val="10"/>
      </w:pPr>
      <w:r w:rsidRPr="005A1BD6">
        <w:t>爰此，建請國史館臺灣文獻館持續推動檔案數位化作業外，強化歷史檔案公共近用與教育推廣功能精進策略，並於</w:t>
      </w:r>
      <w:r w:rsidRPr="005A1BD6">
        <w:rPr>
          <w:rFonts w:hint="eastAsia"/>
        </w:rPr>
        <w:t>3</w:t>
      </w:r>
      <w:r w:rsidRPr="005A1BD6">
        <w:t>個月內提送書面報告予</w:t>
      </w:r>
      <w:r w:rsidRPr="005A1BD6">
        <w:rPr>
          <w:rFonts w:hint="eastAsia"/>
        </w:rPr>
        <w:t>立法院</w:t>
      </w:r>
      <w:r w:rsidRPr="005A1BD6">
        <w:t>司法及法制委員會。【53】</w:t>
      </w:r>
    </w:p>
    <w:p w14:paraId="0BFA0A4A"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提案人：莊瑞雄</w:t>
      </w:r>
    </w:p>
    <w:p w14:paraId="126962EC" w14:textId="77777777" w:rsidR="00890645" w:rsidRPr="005A1BD6" w:rsidRDefault="00890645" w:rsidP="00890645">
      <w:pPr>
        <w:pStyle w:val="21"/>
      </w:pPr>
      <w:r w:rsidRPr="005A1BD6">
        <w:rPr>
          <w:rFonts w:hint="eastAsia"/>
        </w:rPr>
        <w:t>連署人：范  雲  張雅琳</w:t>
      </w:r>
    </w:p>
    <w:p w14:paraId="7004A763" w14:textId="144A1A47" w:rsidR="00890645" w:rsidRPr="005A1BD6" w:rsidRDefault="00890645" w:rsidP="003904BA">
      <w:pPr>
        <w:pStyle w:val="1"/>
      </w:pPr>
      <w:r w:rsidRPr="005A1BD6">
        <w:t>115年度國史館臺灣文獻館</w:t>
      </w:r>
      <w:r w:rsidR="00376CA8" w:rsidRPr="005A1BD6">
        <w:rPr>
          <w:rFonts w:hint="eastAsia"/>
        </w:rPr>
        <w:t>預算案於第2目</w:t>
      </w:r>
      <w:r w:rsidRPr="005A1BD6">
        <w:t>「文獻業務」項下編列相關預算，辦理文獻檔案數位化、資料庫維護及開放應用等業務。惟查該館近年持續推動文獻檔案數位化與線上閱覽服務，114年度上半年文獻檔案查詢系統瀏覽人次已逾67萬人次，顯示民眾對臺灣歷史文獻數位應用需求日益提升。然目前各資料庫系統間之整合性、檢索便利性、跨系統串接及數位典藏資料開放應用情形，仍有持續精進空間。</w:t>
      </w:r>
    </w:p>
    <w:p w14:paraId="7D966EE2" w14:textId="54526BAB" w:rsidR="00890645" w:rsidRPr="005A1BD6" w:rsidRDefault="00890645" w:rsidP="003904BA">
      <w:pPr>
        <w:pStyle w:val="10"/>
      </w:pPr>
      <w:r w:rsidRPr="005A1BD6">
        <w:t>爰請國史館臺灣文獻館，就文獻資料庫整合優化、數位典藏資料開放應用、原住民族及地方史料詮釋資料建置進度，以及提升民眾查詢與研究使用便利性等事項，於3個月內向立法院司法及法制委員會提出書面報告。【54】</w:t>
      </w:r>
    </w:p>
    <w:p w14:paraId="0F28BFED"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提案人：沈發惠</w:t>
      </w:r>
    </w:p>
    <w:p w14:paraId="2957A943" w14:textId="77777777" w:rsidR="00890645" w:rsidRPr="005A1BD6" w:rsidRDefault="00890645" w:rsidP="00890645">
      <w:pPr>
        <w:pStyle w:val="21"/>
      </w:pPr>
      <w:r w:rsidRPr="005A1BD6">
        <w:rPr>
          <w:rFonts w:hint="eastAsia"/>
        </w:rPr>
        <w:t>連署人：張雅琳  莊瑞雄</w:t>
      </w:r>
    </w:p>
    <w:p w14:paraId="230531BA" w14:textId="77777777" w:rsidR="00890645" w:rsidRPr="005A1BD6" w:rsidRDefault="00890645" w:rsidP="00376CA8">
      <w:pPr>
        <w:pStyle w:val="1"/>
      </w:pPr>
      <w:r w:rsidRPr="005A1BD6">
        <w:rPr>
          <w:spacing w:val="-4"/>
        </w:rPr>
        <w:t>115年度國史館臺灣文獻館編列相關預算辦理館藏文物典藏維護、</w:t>
      </w:r>
      <w:r w:rsidRPr="005A1BD6">
        <w:t>檔案庫房管理及典藏環境改善等業務，包括檔案修護、庫房空調設備維護、消防設備檢測及檔案庫房整修等工作。惟查館藏文獻檔案及民俗文物數量龐大，且多屬珍貴歷史文化資產，相</w:t>
      </w:r>
      <w:r w:rsidRPr="005A1BD6">
        <w:lastRenderedPageBreak/>
        <w:t>關典藏環境、消防安全、空調溫濕度控制及災害風險管理，均攸關文化資產保存品質與安全。</w:t>
      </w:r>
    </w:p>
    <w:p w14:paraId="195183DD" w14:textId="2D0B1F41" w:rsidR="00890645" w:rsidRPr="005A1BD6" w:rsidRDefault="00890645" w:rsidP="008B3BE1">
      <w:pPr>
        <w:pStyle w:val="10"/>
      </w:pPr>
      <w:r w:rsidRPr="005A1BD6">
        <w:t>爰請國史館臺灣文獻館，就館藏文獻與文物典藏環境現況、檔案庫房消防與防災設備改善規劃、珍貴文獻及文物保存維護機制，以及中長程典藏環境優化與數位備援規劃等事項，於3個月內向立法院司法及法制委員會提出書面報告。【5</w:t>
      </w:r>
      <w:r w:rsidRPr="005A1BD6">
        <w:rPr>
          <w:rFonts w:hint="eastAsia"/>
        </w:rPr>
        <w:t>5</w:t>
      </w:r>
      <w:r w:rsidRPr="005A1BD6">
        <w:t>】</w:t>
      </w:r>
    </w:p>
    <w:p w14:paraId="673C8036" w14:textId="77777777" w:rsidR="00890645" w:rsidRPr="005A1BD6" w:rsidRDefault="00890645" w:rsidP="008B3BE1">
      <w:pPr>
        <w:pStyle w:val="21"/>
      </w:pPr>
      <w:r w:rsidRPr="005A1BD6">
        <w:t>提案人：沈發惠</w:t>
      </w:r>
    </w:p>
    <w:p w14:paraId="170F8A09" w14:textId="77777777" w:rsidR="00890645" w:rsidRPr="005A1BD6" w:rsidRDefault="00890645" w:rsidP="008B3BE1">
      <w:pPr>
        <w:pStyle w:val="21"/>
      </w:pPr>
      <w:r w:rsidRPr="005A1BD6">
        <w:rPr>
          <w:rFonts w:hint="eastAsia"/>
        </w:rPr>
        <w:t>連署人：張雅琳  莊瑞雄</w:t>
      </w:r>
    </w:p>
    <w:p w14:paraId="4A2F3CC2" w14:textId="77777777" w:rsidR="00890645" w:rsidRPr="005A1BD6" w:rsidRDefault="00890645" w:rsidP="008B3BE1">
      <w:pPr>
        <w:pStyle w:val="1"/>
      </w:pPr>
      <w:r w:rsidRPr="005A1BD6">
        <w:rPr>
          <w:spacing w:val="-4"/>
        </w:rPr>
        <w:t>115年度國史館臺灣文獻館編列相關預算辦理文獻檔案整理編目、</w:t>
      </w:r>
      <w:r w:rsidRPr="005A1BD6">
        <w:t>數位典藏及資料庫維護等業務，並持續辦理原住民族、地方議會及日治時期檔案之詮釋資料著錄與研究應用。惟查不同時期、族群及地方史料之分類方式、關鍵詞著錄標準及詮釋內容，涉及歷史脈絡、族群文化與資料檢索一致性，攸關研究使用效能與歷史資料近用品質。</w:t>
      </w:r>
    </w:p>
    <w:p w14:paraId="113AAEE1" w14:textId="331A8787" w:rsidR="00890645" w:rsidRPr="005A1BD6" w:rsidRDefault="00890645" w:rsidP="008B3BE1">
      <w:pPr>
        <w:pStyle w:val="10"/>
      </w:pPr>
      <w:r w:rsidRPr="005A1BD6">
        <w:t>爰請國史館臺灣文獻館，就原住民族、地方議會及日治時期檔案等重要史料之詮釋資料建置原則、關鍵詞著錄標準、資料庫整合情形及後續推動規劃，於3個月內向立法院司法及法制委員會提出書面報告。【56】</w:t>
      </w:r>
    </w:p>
    <w:p w14:paraId="13539D65"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提案人：沈發惠</w:t>
      </w:r>
    </w:p>
    <w:p w14:paraId="09C9F340" w14:textId="77777777" w:rsidR="00890645" w:rsidRPr="005A1BD6" w:rsidRDefault="00890645" w:rsidP="00890645">
      <w:pPr>
        <w:pStyle w:val="21"/>
      </w:pPr>
      <w:r w:rsidRPr="005A1BD6">
        <w:rPr>
          <w:rFonts w:hint="eastAsia"/>
        </w:rPr>
        <w:t>連署人：張雅琳  莊瑞雄</w:t>
      </w:r>
    </w:p>
    <w:p w14:paraId="2385A3A3" w14:textId="5EB60127" w:rsidR="00890645" w:rsidRPr="005A1BD6" w:rsidRDefault="00890645" w:rsidP="008B3BE1">
      <w:pPr>
        <w:pStyle w:val="1"/>
      </w:pPr>
      <w:r w:rsidRPr="005A1BD6">
        <w:t>115年度國史館臺灣文獻館</w:t>
      </w:r>
      <w:r w:rsidR="00376CA8" w:rsidRPr="005A1BD6">
        <w:rPr>
          <w:rFonts w:hint="eastAsia"/>
        </w:rPr>
        <w:t>歲入</w:t>
      </w:r>
      <w:r w:rsidR="00376CA8" w:rsidRPr="005A1BD6">
        <w:t>預算</w:t>
      </w:r>
      <w:r w:rsidRPr="005A1BD6">
        <w:t>於</w:t>
      </w:r>
      <w:r w:rsidR="00376CA8" w:rsidRPr="005A1BD6">
        <w:rPr>
          <w:rFonts w:hint="eastAsia"/>
        </w:rPr>
        <w:t>「規費收入」科目項下</w:t>
      </w:r>
      <w:r w:rsidR="008B3BE1" w:rsidRPr="005A1BD6">
        <w:rPr>
          <w:color w:val="000000" w:themeColor="text1"/>
          <w:shd w:val="clear" w:color="auto" w:fill="FFFFFF"/>
        </w:rPr>
        <w:t>第1目</w:t>
      </w:r>
      <w:r w:rsidRPr="005A1BD6">
        <w:t>「使用規費收入</w:t>
      </w:r>
      <w:r w:rsidRPr="005A1BD6">
        <w:rPr>
          <w:rFonts w:hint="eastAsia"/>
        </w:rPr>
        <w:t>」</w:t>
      </w:r>
      <w:r w:rsidR="00376CA8" w:rsidRPr="005A1BD6">
        <w:rPr>
          <w:rFonts w:hint="eastAsia"/>
        </w:rPr>
        <w:t>之</w:t>
      </w:r>
      <w:r w:rsidRPr="005A1BD6">
        <w:rPr>
          <w:rFonts w:hint="eastAsia"/>
        </w:rPr>
        <w:t>「</w:t>
      </w:r>
      <w:r w:rsidRPr="005A1BD6">
        <w:t>資料使用費」編列7萬3千元，另於</w:t>
      </w:r>
      <w:r w:rsidR="00BB7C96">
        <w:rPr>
          <w:rFonts w:hint="eastAsia"/>
        </w:rPr>
        <w:t>歲出預算</w:t>
      </w:r>
      <w:r w:rsidR="001F76EB" w:rsidRPr="005A1BD6">
        <w:rPr>
          <w:rFonts w:hint="eastAsia"/>
        </w:rPr>
        <w:t>第2目</w:t>
      </w:r>
      <w:r w:rsidRPr="005A1BD6">
        <w:t>「文獻業務</w:t>
      </w:r>
      <w:r w:rsidRPr="005A1BD6">
        <w:rPr>
          <w:rFonts w:hint="eastAsia"/>
        </w:rPr>
        <w:t>」項下「</w:t>
      </w:r>
      <w:r w:rsidRPr="005A1BD6">
        <w:t>民俗文物管理應用」及</w:t>
      </w:r>
      <w:r w:rsidRPr="005A1BD6">
        <w:rPr>
          <w:rFonts w:hint="eastAsia"/>
        </w:rPr>
        <w:t>「</w:t>
      </w:r>
      <w:r w:rsidRPr="005A1BD6">
        <w:t>文獻管理應用」分支計畫分別編列871萬元及1,693萬1千元，用於館藏文物及文獻檔案之管理應用。惟查該館109至113年度「資料使用費」決算數分別為10萬2千元、7萬1千元、7萬4千元、9萬8千元及7萬7千元，整體收入金額有限，且113年</w:t>
      </w:r>
      <w:r w:rsidR="00376CA8" w:rsidRPr="005A1BD6">
        <w:rPr>
          <w:rFonts w:hint="eastAsia"/>
        </w:rPr>
        <w:t>度</w:t>
      </w:r>
      <w:r w:rsidRPr="005A1BD6">
        <w:t>較109年度減少24.51%；另截至114年7月底，該館典藏文獻檔案43萬6,099卷、文物類4萬2,203件、館藏圖書9萬8,517冊，館藏資源豐富，惟109年度至114年7月底止，文物類加值運用僅介於14至32件，其中民俗文物及碑碣拓本部分年度甚至無加值運用紀錄，顯示相較於龐大館藏，文物類活化應用成效仍有不足。</w:t>
      </w:r>
    </w:p>
    <w:p w14:paraId="58E35F55" w14:textId="3FD4A4EB" w:rsidR="00890645" w:rsidRPr="005A1BD6" w:rsidRDefault="00890645" w:rsidP="001F76EB">
      <w:pPr>
        <w:pStyle w:val="10"/>
      </w:pPr>
      <w:r w:rsidRPr="005A1BD6">
        <w:t>臺灣文獻館肩負保存臺灣歷史記憶、傳承常民文化及推廣臺灣史料之重要任務，爰要求國史館臺灣文獻館應於兼顧文物安全、典藏保存及權利管理之前提下，檢討館藏資料及文物圖像加值運用機制，研議強化民俗文物、古文書、碑碣拓本等文</w:t>
      </w:r>
      <w:r w:rsidRPr="005A1BD6">
        <w:lastRenderedPageBreak/>
        <w:t>物類館藏之展示、授權、數位應用、教育推廣及文創合作等多元應用模式，並於</w:t>
      </w:r>
      <w:r w:rsidRPr="005A1BD6">
        <w:rPr>
          <w:rFonts w:hint="eastAsia"/>
        </w:rPr>
        <w:t>3</w:t>
      </w:r>
      <w:r w:rsidRPr="005A1BD6">
        <w:t>個月內向立法院司法及法制委員會提出書面報告，以提升館藏活化效益，促進臺灣文化傳承，並策進資料使用收入。【5</w:t>
      </w:r>
      <w:r w:rsidRPr="005A1BD6">
        <w:rPr>
          <w:rFonts w:hint="eastAsia"/>
        </w:rPr>
        <w:t>7</w:t>
      </w:r>
      <w:r w:rsidRPr="005A1BD6">
        <w:t>】</w:t>
      </w:r>
    </w:p>
    <w:p w14:paraId="25CD25C9" w14:textId="77777777" w:rsidR="00890645" w:rsidRPr="005A1BD6" w:rsidRDefault="00890645" w:rsidP="00890645">
      <w:pPr>
        <w:snapToGrid w:val="0"/>
        <w:ind w:leftChars="1500" w:left="4776" w:hangingChars="420" w:hanging="1176"/>
        <w:jc w:val="both"/>
        <w:rPr>
          <w:rFonts w:ascii="標楷體" w:eastAsia="標楷體" w:hAnsi="標楷體"/>
          <w:color w:val="000000"/>
          <w:sz w:val="28"/>
          <w:szCs w:val="28"/>
        </w:rPr>
      </w:pPr>
      <w:r w:rsidRPr="005A1BD6">
        <w:rPr>
          <w:rFonts w:ascii="標楷體" w:eastAsia="標楷體" w:hAnsi="標楷體"/>
          <w:color w:val="000000"/>
          <w:sz w:val="28"/>
          <w:szCs w:val="28"/>
        </w:rPr>
        <w:t>提案人：張雅琳</w:t>
      </w:r>
    </w:p>
    <w:p w14:paraId="4A2F44B2" w14:textId="4A065147" w:rsidR="00890645" w:rsidRPr="005A1BD6" w:rsidRDefault="00890645" w:rsidP="00890645">
      <w:pPr>
        <w:pStyle w:val="21"/>
      </w:pPr>
      <w:r w:rsidRPr="005A1BD6">
        <w:rPr>
          <w:rFonts w:hint="eastAsia"/>
        </w:rPr>
        <w:t>連署人：沈發惠  莊瑞雄</w:t>
      </w:r>
    </w:p>
    <w:p w14:paraId="7D7C02B4" w14:textId="06FC464A" w:rsidR="001F76EB" w:rsidRPr="005A1BD6" w:rsidRDefault="001F76EB" w:rsidP="001F76EB">
      <w:pPr>
        <w:pStyle w:val="1"/>
      </w:pPr>
      <w:r w:rsidRPr="005A1BD6">
        <w:rPr>
          <w:rFonts w:hint="eastAsia"/>
        </w:rPr>
        <w:t>鑑於新竹縣立總圖書館將於115年底開館，地方文史工作者及民意代表均殷切期盼能尋回新竹州圖書館於日治時期流散各地之館藏珍貴書籍，以充實地方文史脈絡。</w:t>
      </w:r>
    </w:p>
    <w:p w14:paraId="6A650427" w14:textId="5A38D7EF" w:rsidR="001F76EB" w:rsidRPr="005A1BD6" w:rsidRDefault="001F76EB" w:rsidP="001F76EB">
      <w:pPr>
        <w:pStyle w:val="10"/>
        <w:rPr>
          <w:color w:val="000000" w:themeColor="text1"/>
        </w:rPr>
      </w:pPr>
      <w:r w:rsidRPr="005A1BD6">
        <w:rPr>
          <w:rFonts w:hint="eastAsia"/>
        </w:rPr>
        <w:t>經查，新竹縣政府文化局曾於102年間，考量藏品屬性及專業研究人力之配置，將該批約4,000冊之日文舊籍贈與國史館臺灣文獻館（下稱臺灣文獻館）。臺灣文獻館收受該批書籍後，歷經數年審慎整編、建置專業庫房並購置典藏櫃架，已於106年完成全面編目，並將目錄公開上網提供讀者提調閱覽；近年更積極致力於圖書數位化，規劃建置數位平台以加速開放研究、展示等應用，其對於保存珍貴臺灣文獻之努力與專業貢獻，實值肯定。</w:t>
      </w:r>
    </w:p>
    <w:p w14:paraId="405D3BE3" w14:textId="3B4E80DA" w:rsidR="001F76EB" w:rsidRPr="005A1BD6" w:rsidRDefault="00D8307C" w:rsidP="001F76EB">
      <w:pPr>
        <w:pStyle w:val="10"/>
      </w:pPr>
      <w:r w:rsidRPr="005A1BD6">
        <w:rPr>
          <w:rFonts w:hint="eastAsia"/>
        </w:rPr>
        <w:t>復</w:t>
      </w:r>
      <w:r w:rsidR="001F76EB" w:rsidRPr="005A1BD6">
        <w:rPr>
          <w:rFonts w:hint="eastAsia"/>
        </w:rPr>
        <w:t>查，新竹州圖書館之館藏舊籍，承載日治時期新竹州轄區（今桃園、新竹、苗栗地區）重要之地方文史脈絡。適逢新竹縣立總圖書館開館在即，為深化地方文史研究，提升該批日文舊籍之社會利用，中央與地方實有協作之空間。在不影響臺灣文獻館典藏環境與專業管理之前提下，思考如何促進中央與地方之交流。</w:t>
      </w:r>
    </w:p>
    <w:p w14:paraId="72A9701D" w14:textId="0EB0D0B0" w:rsidR="001F76EB" w:rsidRPr="00890645" w:rsidRDefault="001F76EB" w:rsidP="001F76EB">
      <w:pPr>
        <w:pStyle w:val="10"/>
      </w:pPr>
      <w:r w:rsidRPr="005A1BD6">
        <w:rPr>
          <w:rFonts w:hint="eastAsia"/>
        </w:rPr>
        <w:t>為促進珍貴地方文獻之流通、研究與活化利用，爰建請國史館臺灣文獻館評估與地方協作之可行性，如館際交流、出借展覽或其他方式等，並於3個月內提出書面報告予立法</w:t>
      </w:r>
      <w:r w:rsidRPr="001F76EB">
        <w:rPr>
          <w:rFonts w:hint="eastAsia"/>
        </w:rPr>
        <w:t>院司法及法制委員會。</w:t>
      </w:r>
      <w:r w:rsidRPr="00890645">
        <w:t>【5</w:t>
      </w:r>
      <w:r w:rsidR="004819A7">
        <w:rPr>
          <w:rFonts w:hint="eastAsia"/>
        </w:rPr>
        <w:t>8</w:t>
      </w:r>
      <w:r w:rsidRPr="00890645">
        <w:t>】</w:t>
      </w:r>
    </w:p>
    <w:p w14:paraId="693EF075" w14:textId="2A3611BA" w:rsidR="001F76EB" w:rsidRPr="00890645" w:rsidRDefault="001F76EB" w:rsidP="001F76EB">
      <w:pPr>
        <w:pStyle w:val="21"/>
      </w:pPr>
      <w:r w:rsidRPr="00890645">
        <w:t>提案人：</w:t>
      </w:r>
      <w:r>
        <w:rPr>
          <w:rFonts w:hint="eastAsia"/>
        </w:rPr>
        <w:t>范  雲</w:t>
      </w:r>
    </w:p>
    <w:p w14:paraId="64CA6606" w14:textId="3365C3DF" w:rsidR="001F76EB" w:rsidRPr="00890645" w:rsidRDefault="001F76EB" w:rsidP="001F76EB">
      <w:pPr>
        <w:pStyle w:val="21"/>
      </w:pPr>
      <w:r w:rsidRPr="00890645">
        <w:rPr>
          <w:rFonts w:hint="eastAsia"/>
        </w:rPr>
        <w:t xml:space="preserve">連署人：莊瑞雄  沈發惠 </w:t>
      </w:r>
    </w:p>
    <w:p w14:paraId="126B2EBE" w14:textId="77777777" w:rsidR="00890645" w:rsidRPr="00890645" w:rsidRDefault="00890645" w:rsidP="00D8307C">
      <w:pPr>
        <w:snapToGrid w:val="0"/>
        <w:spacing w:line="380" w:lineRule="exact"/>
        <w:ind w:leftChars="53" w:left="688" w:hangingChars="200" w:hanging="561"/>
        <w:jc w:val="both"/>
        <w:rPr>
          <w:rFonts w:ascii="標楷體" w:eastAsia="標楷體" w:hAnsi="標楷體" w:cs="Times New Roman"/>
          <w:b/>
          <w:color w:val="000000" w:themeColor="text1"/>
          <w:kern w:val="0"/>
          <w:sz w:val="28"/>
          <w:szCs w:val="28"/>
          <w:shd w:val="clear" w:color="auto" w:fill="FFFFFF"/>
        </w:rPr>
      </w:pPr>
      <w:r w:rsidRPr="00890645">
        <w:rPr>
          <w:rFonts w:ascii="標楷體" w:eastAsia="標楷體" w:hAnsi="標楷體" w:cs="Times New Roman" w:hint="eastAsia"/>
          <w:b/>
          <w:color w:val="000000" w:themeColor="text1"/>
          <w:kern w:val="0"/>
          <w:sz w:val="28"/>
          <w:szCs w:val="28"/>
          <w:shd w:val="clear" w:color="auto" w:fill="FFFFFF"/>
        </w:rPr>
        <w:t>(三)中華民國11</w:t>
      </w:r>
      <w:r w:rsidRPr="00890645">
        <w:rPr>
          <w:rFonts w:ascii="標楷體" w:eastAsia="標楷體" w:hAnsi="標楷體" w:cs="Times New Roman"/>
          <w:b/>
          <w:color w:val="000000" w:themeColor="text1"/>
          <w:kern w:val="0"/>
          <w:sz w:val="28"/>
          <w:szCs w:val="28"/>
          <w:shd w:val="clear" w:color="auto" w:fill="FFFFFF"/>
        </w:rPr>
        <w:t>5</w:t>
      </w:r>
      <w:r w:rsidRPr="00890645">
        <w:rPr>
          <w:rFonts w:ascii="標楷體" w:eastAsia="標楷體" w:hAnsi="標楷體" w:cs="Times New Roman" w:hint="eastAsia"/>
          <w:b/>
          <w:color w:val="000000" w:themeColor="text1"/>
          <w:kern w:val="0"/>
          <w:sz w:val="28"/>
          <w:szCs w:val="28"/>
          <w:shd w:val="clear" w:color="auto" w:fill="FFFFFF"/>
        </w:rPr>
        <w:t>年度中央政府總預算案關於總統府主管（不含中央研究院）收支部分</w:t>
      </w:r>
      <w:r w:rsidRPr="00890645">
        <w:rPr>
          <w:rFonts w:ascii="標楷體" w:eastAsia="標楷體" w:hAnsi="標楷體" w:cs="Times New Roman"/>
          <w:b/>
          <w:color w:val="000000" w:themeColor="text1"/>
          <w:kern w:val="0"/>
          <w:sz w:val="28"/>
          <w:szCs w:val="28"/>
          <w:shd w:val="clear" w:color="auto" w:fill="FFFFFF"/>
        </w:rPr>
        <w:t>審查完竣，</w:t>
      </w:r>
      <w:r w:rsidRPr="00890645">
        <w:rPr>
          <w:rFonts w:ascii="標楷體" w:eastAsia="標楷體" w:hAnsi="標楷體" w:cs="Times New Roman" w:hint="eastAsia"/>
          <w:b/>
          <w:color w:val="000000" w:themeColor="text1"/>
          <w:kern w:val="0"/>
          <w:sz w:val="28"/>
          <w:szCs w:val="28"/>
          <w:shd w:val="clear" w:color="auto" w:fill="FFFFFF"/>
        </w:rPr>
        <w:t>提報院會，院會討論前，</w:t>
      </w:r>
      <w:r w:rsidRPr="00890645">
        <w:rPr>
          <w:rFonts w:ascii="標楷體" w:eastAsia="標楷體" w:hAnsi="標楷體" w:cs="Times New Roman"/>
          <w:b/>
          <w:color w:val="000000" w:themeColor="text1"/>
          <w:kern w:val="0"/>
          <w:sz w:val="28"/>
          <w:szCs w:val="28"/>
          <w:shd w:val="clear" w:color="auto" w:fill="FFFFFF"/>
        </w:rPr>
        <w:t>須交由黨團協商</w:t>
      </w:r>
      <w:r w:rsidRPr="00890645">
        <w:rPr>
          <w:rFonts w:ascii="標楷體" w:eastAsia="標楷體" w:hAnsi="標楷體" w:cs="Times New Roman" w:hint="eastAsia"/>
          <w:b/>
          <w:color w:val="000000" w:themeColor="text1"/>
          <w:kern w:val="0"/>
          <w:sz w:val="28"/>
          <w:szCs w:val="28"/>
          <w:shd w:val="clear" w:color="auto" w:fill="FFFFFF"/>
        </w:rPr>
        <w:t>；院會討論時，由莊召集委員瑞雄出席說明</w:t>
      </w:r>
      <w:r w:rsidRPr="00890645">
        <w:rPr>
          <w:rFonts w:ascii="標楷體" w:eastAsia="標楷體" w:hAnsi="標楷體" w:cs="Times New Roman"/>
          <w:b/>
          <w:color w:val="000000" w:themeColor="text1"/>
          <w:kern w:val="0"/>
          <w:sz w:val="28"/>
          <w:szCs w:val="28"/>
          <w:shd w:val="clear" w:color="auto" w:fill="FFFFFF"/>
        </w:rPr>
        <w:t>。</w:t>
      </w:r>
    </w:p>
    <w:p w14:paraId="5C4F802C" w14:textId="4E1844F6" w:rsidR="001F76EB" w:rsidRDefault="00890645" w:rsidP="001F76EB">
      <w:pPr>
        <w:spacing w:line="380" w:lineRule="exact"/>
        <w:ind w:left="504" w:hangingChars="180" w:hanging="504"/>
        <w:contextualSpacing/>
        <w:jc w:val="both"/>
        <w:rPr>
          <w:rFonts w:ascii="標楷體" w:eastAsia="標楷體" w:hAnsi="標楷體"/>
          <w:color w:val="000000" w:themeColor="text1"/>
          <w:sz w:val="28"/>
          <w:szCs w:val="28"/>
        </w:rPr>
      </w:pPr>
      <w:r w:rsidRPr="00890645">
        <w:rPr>
          <w:rFonts w:ascii="標楷體" w:eastAsia="標楷體" w:hAnsi="標楷體" w:hint="eastAsia"/>
          <w:color w:val="000000" w:themeColor="text1"/>
          <w:sz w:val="28"/>
          <w:szCs w:val="28"/>
        </w:rPr>
        <w:t>三、</w:t>
      </w:r>
      <w:r w:rsidR="00A46644" w:rsidRPr="008B0B99">
        <w:rPr>
          <w:rFonts w:ascii="標楷體" w:eastAsia="標楷體" w:hAnsi="標楷體" w:cs="Times New Roman" w:hint="eastAsia"/>
          <w:sz w:val="28"/>
          <w:szCs w:val="28"/>
        </w:rPr>
        <w:t>本次會議通過之決議，依例文字授權主席及議事人員整理。</w:t>
      </w:r>
    </w:p>
    <w:p w14:paraId="75805425" w14:textId="141A6A16" w:rsidR="00BF432F" w:rsidRDefault="00890645" w:rsidP="001F76EB">
      <w:pPr>
        <w:spacing w:line="380" w:lineRule="exact"/>
        <w:ind w:left="504" w:hangingChars="180" w:hanging="504"/>
        <w:contextualSpacing/>
        <w:jc w:val="both"/>
        <w:rPr>
          <w:rFonts w:ascii="標楷體" w:eastAsia="標楷體" w:hAnsi="標楷體" w:cs="標楷體"/>
          <w:color w:val="000000"/>
          <w:kern w:val="0"/>
          <w:sz w:val="28"/>
          <w:szCs w:val="28"/>
        </w:rPr>
      </w:pPr>
      <w:r>
        <w:rPr>
          <w:rFonts w:ascii="標楷體" w:eastAsia="標楷體" w:hAnsi="標楷體" w:cs="Times New Roman" w:hint="eastAsia"/>
          <w:sz w:val="28"/>
          <w:szCs w:val="28"/>
        </w:rPr>
        <w:t>四</w:t>
      </w:r>
      <w:r w:rsidR="008B0B99" w:rsidRPr="008B0B99">
        <w:rPr>
          <w:rFonts w:ascii="標楷體" w:eastAsia="標楷體" w:hAnsi="標楷體" w:cs="Times New Roman" w:hint="eastAsia"/>
          <w:sz w:val="28"/>
          <w:szCs w:val="28"/>
        </w:rPr>
        <w:t>、</w:t>
      </w:r>
      <w:r w:rsidR="00A46644" w:rsidRPr="00890645">
        <w:rPr>
          <w:rFonts w:ascii="標楷體" w:eastAsia="標楷體" w:hAnsi="標楷體" w:hint="eastAsia"/>
          <w:sz w:val="28"/>
          <w:szCs w:val="28"/>
        </w:rPr>
        <w:t>委員</w:t>
      </w:r>
      <w:r w:rsidR="00A46644" w:rsidRPr="00890645">
        <w:rPr>
          <w:rFonts w:ascii="標楷體" w:eastAsia="標楷體" w:hAnsi="標楷體" w:hint="eastAsia"/>
          <w:color w:val="000000" w:themeColor="text1"/>
          <w:sz w:val="28"/>
          <w:szCs w:val="28"/>
        </w:rPr>
        <w:t>質詢時，要求提供相關資料或以書面答復者，請相關機關儘速送交個別委員及本會。</w:t>
      </w:r>
    </w:p>
    <w:p w14:paraId="4E8E07E2" w14:textId="45FA13A2" w:rsidR="00356512" w:rsidRPr="00134B54" w:rsidRDefault="00890645" w:rsidP="00356512">
      <w:pPr>
        <w:spacing w:line="360" w:lineRule="exact"/>
        <w:ind w:left="560" w:hangingChars="200" w:hanging="560"/>
        <w:contextualSpacing/>
        <w:jc w:val="both"/>
        <w:rPr>
          <w:rFonts w:ascii="標楷體" w:eastAsia="標楷體" w:hAnsi="標楷體"/>
          <w:sz w:val="28"/>
          <w:szCs w:val="28"/>
          <w:shd w:val="clear" w:color="auto" w:fill="FFFFFF" w:themeFill="background1"/>
        </w:rPr>
      </w:pPr>
      <w:r w:rsidRPr="00134B54">
        <w:rPr>
          <w:rFonts w:ascii="標楷體" w:eastAsia="標楷體" w:hAnsi="標楷體"/>
          <w:sz w:val="28"/>
          <w:szCs w:val="28"/>
        </w:rPr>
        <w:t>散會</w:t>
      </w:r>
    </w:p>
    <w:p w14:paraId="46349E50" w14:textId="77777777" w:rsidR="000C193D" w:rsidRPr="00134B54" w:rsidRDefault="000C193D" w:rsidP="003A2A16">
      <w:pPr>
        <w:snapToGrid w:val="0"/>
        <w:rPr>
          <w:rFonts w:ascii="標楷體" w:eastAsia="標楷體" w:hAnsi="標楷體"/>
          <w:sz w:val="28"/>
          <w:szCs w:val="28"/>
        </w:rPr>
      </w:pPr>
      <w:bookmarkStart w:id="49" w:name="_GoBack"/>
      <w:bookmarkEnd w:id="49"/>
    </w:p>
    <w:sectPr w:rsidR="000C193D" w:rsidRPr="00134B54" w:rsidSect="009231DD">
      <w:footerReference w:type="default" r:id="rId10"/>
      <w:pgSz w:w="11906" w:h="16838"/>
      <w:pgMar w:top="1418" w:right="1559" w:bottom="1418" w:left="1843"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2231F" w14:textId="77777777" w:rsidR="00DE3EDC" w:rsidRDefault="00DE3EDC" w:rsidP="00546A13">
      <w:r>
        <w:separator/>
      </w:r>
    </w:p>
  </w:endnote>
  <w:endnote w:type="continuationSeparator" w:id="0">
    <w:p w14:paraId="0753A2C6" w14:textId="77777777" w:rsidR="00DE3EDC" w:rsidRDefault="00DE3EDC"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613606"/>
      <w:docPartObj>
        <w:docPartGallery w:val="Page Numbers (Bottom of Page)"/>
        <w:docPartUnique/>
      </w:docPartObj>
    </w:sdtPr>
    <w:sdtEndPr/>
    <w:sdtContent>
      <w:p w14:paraId="52D33008" w14:textId="005119B3" w:rsidR="002318B2" w:rsidRDefault="002318B2">
        <w:pPr>
          <w:pStyle w:val="a8"/>
          <w:jc w:val="center"/>
        </w:pPr>
        <w:r>
          <w:fldChar w:fldCharType="begin"/>
        </w:r>
        <w:r>
          <w:instrText>PAGE   \* MERGEFORMAT</w:instrText>
        </w:r>
        <w:r>
          <w:fldChar w:fldCharType="separate"/>
        </w:r>
        <w:r w:rsidR="000819DA" w:rsidRPr="000819DA">
          <w:rPr>
            <w:noProof/>
            <w:lang w:val="zh-TW"/>
          </w:rPr>
          <w:t>77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ABE08" w14:textId="77777777" w:rsidR="00DE3EDC" w:rsidRDefault="00DE3EDC" w:rsidP="00546A13">
      <w:r>
        <w:separator/>
      </w:r>
    </w:p>
  </w:footnote>
  <w:footnote w:type="continuationSeparator" w:id="0">
    <w:p w14:paraId="0BF4AE55" w14:textId="77777777" w:rsidR="00DE3EDC" w:rsidRDefault="00DE3EDC"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FBD"/>
    <w:multiLevelType w:val="hybridMultilevel"/>
    <w:tmpl w:val="788AA4A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7B60080"/>
    <w:multiLevelType w:val="hybridMultilevel"/>
    <w:tmpl w:val="A3209590"/>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A9641FA"/>
    <w:multiLevelType w:val="hybridMultilevel"/>
    <w:tmpl w:val="788AA4A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B1259F0"/>
    <w:multiLevelType w:val="hybridMultilevel"/>
    <w:tmpl w:val="7304C0CA"/>
    <w:lvl w:ilvl="0" w:tplc="A0CA0D62">
      <w:start w:val="1"/>
      <w:numFmt w:val="taiwaneseCountingThousand"/>
      <w:lvlRestart w:val="0"/>
      <w:lvlText w:val="(%1)"/>
      <w:lvlJc w:val="left"/>
      <w:pPr>
        <w:ind w:left="2326"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CF0043F"/>
    <w:multiLevelType w:val="hybridMultilevel"/>
    <w:tmpl w:val="28E433E6"/>
    <w:lvl w:ilvl="0" w:tplc="A0CA0D6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0F950AC9"/>
    <w:multiLevelType w:val="hybridMultilevel"/>
    <w:tmpl w:val="5FB893E8"/>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0925F69"/>
    <w:multiLevelType w:val="hybridMultilevel"/>
    <w:tmpl w:val="E9B457D4"/>
    <w:lvl w:ilvl="0" w:tplc="679093DC">
      <w:start w:val="1"/>
      <w:numFmt w:val="taiwaneseCountingThousand"/>
      <w:lvlRestart w:val="0"/>
      <w:pStyle w:val="a"/>
      <w:suff w:val="nothing"/>
      <w:lvlText w:val="(%1)"/>
      <w:lvlJc w:val="left"/>
      <w:pPr>
        <w:ind w:left="842" w:hanging="482"/>
      </w:pPr>
      <w:rPr>
        <w:rFonts w:hint="eastAsia"/>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182907C8"/>
    <w:multiLevelType w:val="hybridMultilevel"/>
    <w:tmpl w:val="A51CCB44"/>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EB21274"/>
    <w:multiLevelType w:val="hybridMultilevel"/>
    <w:tmpl w:val="788AA4A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326B6CD4"/>
    <w:multiLevelType w:val="hybridMultilevel"/>
    <w:tmpl w:val="50D6714C"/>
    <w:lvl w:ilvl="0" w:tplc="A0CA0D6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35B10616"/>
    <w:multiLevelType w:val="hybridMultilevel"/>
    <w:tmpl w:val="E5323D7E"/>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38D203BD"/>
    <w:multiLevelType w:val="hybridMultilevel"/>
    <w:tmpl w:val="06765CC6"/>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4756656B"/>
    <w:multiLevelType w:val="hybridMultilevel"/>
    <w:tmpl w:val="788AA4A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634413F"/>
    <w:multiLevelType w:val="hybridMultilevel"/>
    <w:tmpl w:val="8DD25858"/>
    <w:lvl w:ilvl="0" w:tplc="A0CA0D6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584473CE"/>
    <w:multiLevelType w:val="hybridMultilevel"/>
    <w:tmpl w:val="12A6AF90"/>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5A8D24A8"/>
    <w:multiLevelType w:val="hybridMultilevel"/>
    <w:tmpl w:val="89C4A5D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6AEC2E19"/>
    <w:multiLevelType w:val="hybridMultilevel"/>
    <w:tmpl w:val="3E90A73C"/>
    <w:lvl w:ilvl="0" w:tplc="A0CA0D6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749B3CE1"/>
    <w:multiLevelType w:val="hybridMultilevel"/>
    <w:tmpl w:val="24B6DBD0"/>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7CF8056F"/>
    <w:multiLevelType w:val="hybridMultilevel"/>
    <w:tmpl w:val="1E2A74A2"/>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7DD92EDF"/>
    <w:multiLevelType w:val="hybridMultilevel"/>
    <w:tmpl w:val="A5183DAA"/>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7E34743B"/>
    <w:multiLevelType w:val="hybridMultilevel"/>
    <w:tmpl w:val="E11EEC36"/>
    <w:lvl w:ilvl="0" w:tplc="0696060E">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6"/>
  </w:num>
  <w:num w:numId="2">
    <w:abstractNumId w:val="0"/>
  </w:num>
  <w:num w:numId="3">
    <w:abstractNumId w:val="7"/>
  </w:num>
  <w:num w:numId="4">
    <w:abstractNumId w:val="1"/>
  </w:num>
  <w:num w:numId="5">
    <w:abstractNumId w:val="20"/>
  </w:num>
  <w:num w:numId="6">
    <w:abstractNumId w:val="18"/>
  </w:num>
  <w:num w:numId="7">
    <w:abstractNumId w:val="15"/>
  </w:num>
  <w:num w:numId="8">
    <w:abstractNumId w:val="17"/>
  </w:num>
  <w:num w:numId="9">
    <w:abstractNumId w:val="19"/>
  </w:num>
  <w:num w:numId="10">
    <w:abstractNumId w:val="11"/>
  </w:num>
  <w:num w:numId="11">
    <w:abstractNumId w:val="10"/>
  </w:num>
  <w:num w:numId="12">
    <w:abstractNumId w:val="5"/>
  </w:num>
  <w:num w:numId="13">
    <w:abstractNumId w:val="14"/>
  </w:num>
  <w:num w:numId="14">
    <w:abstractNumId w:val="6"/>
    <w:lvlOverride w:ilvl="0">
      <w:startOverride w:val="1"/>
    </w:lvlOverride>
  </w:num>
  <w:num w:numId="15">
    <w:abstractNumId w:val="12"/>
  </w:num>
  <w:num w:numId="16">
    <w:abstractNumId w:val="8"/>
  </w:num>
  <w:num w:numId="17">
    <w:abstractNumId w:val="2"/>
  </w:num>
  <w:num w:numId="18">
    <w:abstractNumId w:val="6"/>
    <w:lvlOverride w:ilvl="0">
      <w:startOverride w:val="1"/>
    </w:lvlOverride>
  </w:num>
  <w:num w:numId="19">
    <w:abstractNumId w:val="6"/>
    <w:lvlOverride w:ilvl="0">
      <w:startOverride w:val="1"/>
    </w:lvlOverride>
  </w:num>
  <w:num w:numId="20">
    <w:abstractNumId w:val="6"/>
    <w:lvlOverride w:ilvl="0">
      <w:startOverride w:val="1"/>
    </w:lvlOverride>
  </w:num>
  <w:num w:numId="21">
    <w:abstractNumId w:val="16"/>
  </w:num>
  <w:num w:numId="22">
    <w:abstractNumId w:val="4"/>
  </w:num>
  <w:num w:numId="23">
    <w:abstractNumId w:val="13"/>
  </w:num>
  <w:num w:numId="24">
    <w:abstractNumId w:val="3"/>
  </w:num>
  <w:num w:numId="25">
    <w:abstractNumId w:val="9"/>
  </w:num>
  <w:num w:numId="26">
    <w:abstractNumId w:val="6"/>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6"/>
    <w:lvlOverride w:ilvl="0">
      <w:startOverride w:val="1"/>
    </w:lvlOverride>
  </w:num>
  <w:num w:numId="33">
    <w:abstractNumId w:val="6"/>
    <w:lvlOverride w:ilvl="0">
      <w:startOverride w:val="1"/>
    </w:lvlOverride>
  </w:num>
  <w:num w:numId="34">
    <w:abstractNumId w:val="6"/>
    <w:lvlOverride w:ilvl="0">
      <w:startOverride w:val="1"/>
    </w:lvlOverride>
  </w:num>
  <w:num w:numId="35">
    <w:abstractNumId w:val="6"/>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4CB"/>
    <w:rsid w:val="000054AC"/>
    <w:rsid w:val="0000561D"/>
    <w:rsid w:val="0001105B"/>
    <w:rsid w:val="0001430C"/>
    <w:rsid w:val="00015F53"/>
    <w:rsid w:val="00045290"/>
    <w:rsid w:val="00065E8C"/>
    <w:rsid w:val="0006629E"/>
    <w:rsid w:val="00067D72"/>
    <w:rsid w:val="00080C72"/>
    <w:rsid w:val="000819DA"/>
    <w:rsid w:val="000826C4"/>
    <w:rsid w:val="00082815"/>
    <w:rsid w:val="000A1F68"/>
    <w:rsid w:val="000A29F0"/>
    <w:rsid w:val="000A2A9F"/>
    <w:rsid w:val="000A2CCF"/>
    <w:rsid w:val="000A4714"/>
    <w:rsid w:val="000B0113"/>
    <w:rsid w:val="000C193D"/>
    <w:rsid w:val="000C23DC"/>
    <w:rsid w:val="000D2885"/>
    <w:rsid w:val="000E3B0C"/>
    <w:rsid w:val="000E6873"/>
    <w:rsid w:val="0010204E"/>
    <w:rsid w:val="001132E8"/>
    <w:rsid w:val="00122322"/>
    <w:rsid w:val="00127B9A"/>
    <w:rsid w:val="00127E8D"/>
    <w:rsid w:val="00131CF1"/>
    <w:rsid w:val="00133012"/>
    <w:rsid w:val="00134B54"/>
    <w:rsid w:val="00136807"/>
    <w:rsid w:val="001544C1"/>
    <w:rsid w:val="0015510D"/>
    <w:rsid w:val="00156D16"/>
    <w:rsid w:val="00181F0D"/>
    <w:rsid w:val="00182A00"/>
    <w:rsid w:val="00184EFF"/>
    <w:rsid w:val="001850E8"/>
    <w:rsid w:val="00185E18"/>
    <w:rsid w:val="00192033"/>
    <w:rsid w:val="001A024C"/>
    <w:rsid w:val="001A1B48"/>
    <w:rsid w:val="001A7895"/>
    <w:rsid w:val="001B4B51"/>
    <w:rsid w:val="001C5E56"/>
    <w:rsid w:val="001D1A1E"/>
    <w:rsid w:val="001E4054"/>
    <w:rsid w:val="001F3195"/>
    <w:rsid w:val="001F6B0D"/>
    <w:rsid w:val="001F76EB"/>
    <w:rsid w:val="00221C0D"/>
    <w:rsid w:val="002241E0"/>
    <w:rsid w:val="00224AF5"/>
    <w:rsid w:val="0023028F"/>
    <w:rsid w:val="002318B2"/>
    <w:rsid w:val="002342C3"/>
    <w:rsid w:val="00234D51"/>
    <w:rsid w:val="00236ED7"/>
    <w:rsid w:val="00237378"/>
    <w:rsid w:val="00247D79"/>
    <w:rsid w:val="00262C40"/>
    <w:rsid w:val="00266C83"/>
    <w:rsid w:val="0027278B"/>
    <w:rsid w:val="00273448"/>
    <w:rsid w:val="00273938"/>
    <w:rsid w:val="00281768"/>
    <w:rsid w:val="0029401D"/>
    <w:rsid w:val="002949DE"/>
    <w:rsid w:val="002962B8"/>
    <w:rsid w:val="002A0195"/>
    <w:rsid w:val="002B7865"/>
    <w:rsid w:val="002D79DF"/>
    <w:rsid w:val="002E2483"/>
    <w:rsid w:val="003012A6"/>
    <w:rsid w:val="003019CA"/>
    <w:rsid w:val="00304E1F"/>
    <w:rsid w:val="00305DCD"/>
    <w:rsid w:val="00324598"/>
    <w:rsid w:val="00326AB9"/>
    <w:rsid w:val="00333374"/>
    <w:rsid w:val="0035245C"/>
    <w:rsid w:val="00356512"/>
    <w:rsid w:val="003565BF"/>
    <w:rsid w:val="00361EFD"/>
    <w:rsid w:val="00366C33"/>
    <w:rsid w:val="00374BF3"/>
    <w:rsid w:val="00376CA8"/>
    <w:rsid w:val="00376D94"/>
    <w:rsid w:val="00382FAF"/>
    <w:rsid w:val="003860B7"/>
    <w:rsid w:val="003904BA"/>
    <w:rsid w:val="003A09B9"/>
    <w:rsid w:val="003A2A16"/>
    <w:rsid w:val="003A4F14"/>
    <w:rsid w:val="003B0B9D"/>
    <w:rsid w:val="003B4652"/>
    <w:rsid w:val="003C1043"/>
    <w:rsid w:val="003D1DA2"/>
    <w:rsid w:val="003D23AA"/>
    <w:rsid w:val="003D2EC0"/>
    <w:rsid w:val="003D70FC"/>
    <w:rsid w:val="003F2D0E"/>
    <w:rsid w:val="003F5FC4"/>
    <w:rsid w:val="00406703"/>
    <w:rsid w:val="00425AF1"/>
    <w:rsid w:val="00433EBA"/>
    <w:rsid w:val="00437E4E"/>
    <w:rsid w:val="004413BB"/>
    <w:rsid w:val="004435AB"/>
    <w:rsid w:val="00443C67"/>
    <w:rsid w:val="00457543"/>
    <w:rsid w:val="00467CF4"/>
    <w:rsid w:val="0047045D"/>
    <w:rsid w:val="0047142C"/>
    <w:rsid w:val="004819A7"/>
    <w:rsid w:val="00483827"/>
    <w:rsid w:val="0049164B"/>
    <w:rsid w:val="00492094"/>
    <w:rsid w:val="00497E4F"/>
    <w:rsid w:val="004A158E"/>
    <w:rsid w:val="004A2165"/>
    <w:rsid w:val="004A27F4"/>
    <w:rsid w:val="004C65E6"/>
    <w:rsid w:val="004D53DE"/>
    <w:rsid w:val="004E1C33"/>
    <w:rsid w:val="004E1F7B"/>
    <w:rsid w:val="004E3515"/>
    <w:rsid w:val="004E5F6B"/>
    <w:rsid w:val="004F1D41"/>
    <w:rsid w:val="004F3B59"/>
    <w:rsid w:val="00501105"/>
    <w:rsid w:val="00502207"/>
    <w:rsid w:val="00504120"/>
    <w:rsid w:val="00507305"/>
    <w:rsid w:val="00511316"/>
    <w:rsid w:val="00514FEE"/>
    <w:rsid w:val="00520260"/>
    <w:rsid w:val="005209ED"/>
    <w:rsid w:val="0052541F"/>
    <w:rsid w:val="00540A2A"/>
    <w:rsid w:val="00546A13"/>
    <w:rsid w:val="0055015F"/>
    <w:rsid w:val="005521D6"/>
    <w:rsid w:val="005553CB"/>
    <w:rsid w:val="00566373"/>
    <w:rsid w:val="00571425"/>
    <w:rsid w:val="00587E1B"/>
    <w:rsid w:val="00592489"/>
    <w:rsid w:val="00595081"/>
    <w:rsid w:val="00597339"/>
    <w:rsid w:val="005A1BD6"/>
    <w:rsid w:val="005A2FA4"/>
    <w:rsid w:val="005A3A46"/>
    <w:rsid w:val="005A6981"/>
    <w:rsid w:val="005A6C32"/>
    <w:rsid w:val="005B1E70"/>
    <w:rsid w:val="005B2AC2"/>
    <w:rsid w:val="005C10DF"/>
    <w:rsid w:val="005C20AC"/>
    <w:rsid w:val="005C5A27"/>
    <w:rsid w:val="005D5AA7"/>
    <w:rsid w:val="005E2A11"/>
    <w:rsid w:val="005E7515"/>
    <w:rsid w:val="005E7DBC"/>
    <w:rsid w:val="005F384D"/>
    <w:rsid w:val="005F5295"/>
    <w:rsid w:val="00610058"/>
    <w:rsid w:val="0061287A"/>
    <w:rsid w:val="0061654E"/>
    <w:rsid w:val="00617AD6"/>
    <w:rsid w:val="00620743"/>
    <w:rsid w:val="006318BC"/>
    <w:rsid w:val="00646E36"/>
    <w:rsid w:val="006479F9"/>
    <w:rsid w:val="00651074"/>
    <w:rsid w:val="006758C7"/>
    <w:rsid w:val="0068147A"/>
    <w:rsid w:val="0068199C"/>
    <w:rsid w:val="00681A71"/>
    <w:rsid w:val="00682F81"/>
    <w:rsid w:val="00686F5D"/>
    <w:rsid w:val="00695778"/>
    <w:rsid w:val="006964E4"/>
    <w:rsid w:val="006A2F2B"/>
    <w:rsid w:val="006B0616"/>
    <w:rsid w:val="006B5977"/>
    <w:rsid w:val="006B5D57"/>
    <w:rsid w:val="006B76A7"/>
    <w:rsid w:val="006C1D18"/>
    <w:rsid w:val="006D0340"/>
    <w:rsid w:val="006D1842"/>
    <w:rsid w:val="006D2266"/>
    <w:rsid w:val="006D4780"/>
    <w:rsid w:val="006D5B5D"/>
    <w:rsid w:val="006D7CFF"/>
    <w:rsid w:val="006E0AC0"/>
    <w:rsid w:val="006E27F8"/>
    <w:rsid w:val="006E4F70"/>
    <w:rsid w:val="006E56BC"/>
    <w:rsid w:val="006E7FC3"/>
    <w:rsid w:val="006F5E1A"/>
    <w:rsid w:val="007003EF"/>
    <w:rsid w:val="00702ECE"/>
    <w:rsid w:val="00706FD7"/>
    <w:rsid w:val="0071304F"/>
    <w:rsid w:val="00732153"/>
    <w:rsid w:val="0073232F"/>
    <w:rsid w:val="00734ED1"/>
    <w:rsid w:val="00742406"/>
    <w:rsid w:val="00743E8C"/>
    <w:rsid w:val="00747BFC"/>
    <w:rsid w:val="00764F02"/>
    <w:rsid w:val="00777779"/>
    <w:rsid w:val="00777B3A"/>
    <w:rsid w:val="0078011D"/>
    <w:rsid w:val="0078085D"/>
    <w:rsid w:val="007839EC"/>
    <w:rsid w:val="007A06C2"/>
    <w:rsid w:val="007B32AA"/>
    <w:rsid w:val="007C07F9"/>
    <w:rsid w:val="007E62E4"/>
    <w:rsid w:val="007F387F"/>
    <w:rsid w:val="007F7ED9"/>
    <w:rsid w:val="008015F5"/>
    <w:rsid w:val="00807A16"/>
    <w:rsid w:val="00810523"/>
    <w:rsid w:val="008111DB"/>
    <w:rsid w:val="008138D0"/>
    <w:rsid w:val="00814F17"/>
    <w:rsid w:val="008153D3"/>
    <w:rsid w:val="00815D38"/>
    <w:rsid w:val="00816707"/>
    <w:rsid w:val="0082189B"/>
    <w:rsid w:val="0082341A"/>
    <w:rsid w:val="008334E1"/>
    <w:rsid w:val="0083417E"/>
    <w:rsid w:val="00836F31"/>
    <w:rsid w:val="00854704"/>
    <w:rsid w:val="008629C8"/>
    <w:rsid w:val="00865F65"/>
    <w:rsid w:val="0086671F"/>
    <w:rsid w:val="00870DA9"/>
    <w:rsid w:val="0087125A"/>
    <w:rsid w:val="00873189"/>
    <w:rsid w:val="00876598"/>
    <w:rsid w:val="00890645"/>
    <w:rsid w:val="008967C2"/>
    <w:rsid w:val="008A47D9"/>
    <w:rsid w:val="008A63A3"/>
    <w:rsid w:val="008B0B99"/>
    <w:rsid w:val="008B2F7E"/>
    <w:rsid w:val="008B3BE1"/>
    <w:rsid w:val="008C02AF"/>
    <w:rsid w:val="008D6D47"/>
    <w:rsid w:val="008E0D50"/>
    <w:rsid w:val="008E2791"/>
    <w:rsid w:val="008E4C7F"/>
    <w:rsid w:val="008E54A3"/>
    <w:rsid w:val="008F20E4"/>
    <w:rsid w:val="0090556E"/>
    <w:rsid w:val="00912573"/>
    <w:rsid w:val="009231DD"/>
    <w:rsid w:val="00923BC8"/>
    <w:rsid w:val="0092611B"/>
    <w:rsid w:val="00944F3E"/>
    <w:rsid w:val="00950D7E"/>
    <w:rsid w:val="009536BF"/>
    <w:rsid w:val="00971A39"/>
    <w:rsid w:val="0097629E"/>
    <w:rsid w:val="0098637A"/>
    <w:rsid w:val="009A18D4"/>
    <w:rsid w:val="009A329C"/>
    <w:rsid w:val="009B135B"/>
    <w:rsid w:val="009B6DB6"/>
    <w:rsid w:val="009D1293"/>
    <w:rsid w:val="009D2A5E"/>
    <w:rsid w:val="009E3A84"/>
    <w:rsid w:val="009E49AF"/>
    <w:rsid w:val="009F1EA5"/>
    <w:rsid w:val="00A07790"/>
    <w:rsid w:val="00A11D61"/>
    <w:rsid w:val="00A21BA8"/>
    <w:rsid w:val="00A22381"/>
    <w:rsid w:val="00A25633"/>
    <w:rsid w:val="00A30F60"/>
    <w:rsid w:val="00A41B06"/>
    <w:rsid w:val="00A41EEC"/>
    <w:rsid w:val="00A46644"/>
    <w:rsid w:val="00A508BA"/>
    <w:rsid w:val="00A6489C"/>
    <w:rsid w:val="00A65067"/>
    <w:rsid w:val="00A65617"/>
    <w:rsid w:val="00A73824"/>
    <w:rsid w:val="00A80A84"/>
    <w:rsid w:val="00A83754"/>
    <w:rsid w:val="00A84264"/>
    <w:rsid w:val="00A85F92"/>
    <w:rsid w:val="00A979C3"/>
    <w:rsid w:val="00AA06D5"/>
    <w:rsid w:val="00AA692E"/>
    <w:rsid w:val="00AB00F8"/>
    <w:rsid w:val="00AB27F1"/>
    <w:rsid w:val="00AB4205"/>
    <w:rsid w:val="00AB595C"/>
    <w:rsid w:val="00AB5DBA"/>
    <w:rsid w:val="00AB5E1F"/>
    <w:rsid w:val="00AB689B"/>
    <w:rsid w:val="00AC1035"/>
    <w:rsid w:val="00AD1655"/>
    <w:rsid w:val="00AD4878"/>
    <w:rsid w:val="00AD7BC0"/>
    <w:rsid w:val="00AE33C9"/>
    <w:rsid w:val="00B020FC"/>
    <w:rsid w:val="00B04B31"/>
    <w:rsid w:val="00B06C54"/>
    <w:rsid w:val="00B0755D"/>
    <w:rsid w:val="00B10D5B"/>
    <w:rsid w:val="00B12E3A"/>
    <w:rsid w:val="00B1766A"/>
    <w:rsid w:val="00B27605"/>
    <w:rsid w:val="00B324E7"/>
    <w:rsid w:val="00B3257F"/>
    <w:rsid w:val="00B40C13"/>
    <w:rsid w:val="00B51268"/>
    <w:rsid w:val="00B548DB"/>
    <w:rsid w:val="00B65415"/>
    <w:rsid w:val="00B66163"/>
    <w:rsid w:val="00B6695C"/>
    <w:rsid w:val="00B77538"/>
    <w:rsid w:val="00B80C39"/>
    <w:rsid w:val="00B854A3"/>
    <w:rsid w:val="00B87775"/>
    <w:rsid w:val="00B87945"/>
    <w:rsid w:val="00BB0133"/>
    <w:rsid w:val="00BB1AC6"/>
    <w:rsid w:val="00BB291F"/>
    <w:rsid w:val="00BB3001"/>
    <w:rsid w:val="00BB46D2"/>
    <w:rsid w:val="00BB7C96"/>
    <w:rsid w:val="00BC4FAA"/>
    <w:rsid w:val="00BC6F4D"/>
    <w:rsid w:val="00BD527B"/>
    <w:rsid w:val="00BE4E3E"/>
    <w:rsid w:val="00BE7A26"/>
    <w:rsid w:val="00BF432F"/>
    <w:rsid w:val="00BF5B2C"/>
    <w:rsid w:val="00BF6BF0"/>
    <w:rsid w:val="00C02475"/>
    <w:rsid w:val="00C10C31"/>
    <w:rsid w:val="00C14371"/>
    <w:rsid w:val="00C1554C"/>
    <w:rsid w:val="00C169D5"/>
    <w:rsid w:val="00C2168B"/>
    <w:rsid w:val="00C21B6C"/>
    <w:rsid w:val="00C2430C"/>
    <w:rsid w:val="00C321AD"/>
    <w:rsid w:val="00C407B3"/>
    <w:rsid w:val="00C433A1"/>
    <w:rsid w:val="00C444D3"/>
    <w:rsid w:val="00C568AC"/>
    <w:rsid w:val="00C62C0D"/>
    <w:rsid w:val="00C62D96"/>
    <w:rsid w:val="00C632A4"/>
    <w:rsid w:val="00C72F97"/>
    <w:rsid w:val="00C74F13"/>
    <w:rsid w:val="00C81037"/>
    <w:rsid w:val="00C959CF"/>
    <w:rsid w:val="00CA1489"/>
    <w:rsid w:val="00CB0594"/>
    <w:rsid w:val="00CB36E4"/>
    <w:rsid w:val="00CB747E"/>
    <w:rsid w:val="00CC2752"/>
    <w:rsid w:val="00CC304A"/>
    <w:rsid w:val="00CD0CA8"/>
    <w:rsid w:val="00CD3CCB"/>
    <w:rsid w:val="00CD7B7A"/>
    <w:rsid w:val="00CE16BB"/>
    <w:rsid w:val="00CE5818"/>
    <w:rsid w:val="00CE6239"/>
    <w:rsid w:val="00CF430B"/>
    <w:rsid w:val="00D04F8F"/>
    <w:rsid w:val="00D05808"/>
    <w:rsid w:val="00D23631"/>
    <w:rsid w:val="00D241C7"/>
    <w:rsid w:val="00D25FC0"/>
    <w:rsid w:val="00D324DD"/>
    <w:rsid w:val="00D35BD8"/>
    <w:rsid w:val="00D43FFB"/>
    <w:rsid w:val="00D45A5C"/>
    <w:rsid w:val="00D50ECF"/>
    <w:rsid w:val="00D53392"/>
    <w:rsid w:val="00D54B7A"/>
    <w:rsid w:val="00D61712"/>
    <w:rsid w:val="00D61970"/>
    <w:rsid w:val="00D6292E"/>
    <w:rsid w:val="00D643F7"/>
    <w:rsid w:val="00D671AC"/>
    <w:rsid w:val="00D73609"/>
    <w:rsid w:val="00D81B2B"/>
    <w:rsid w:val="00D81FB1"/>
    <w:rsid w:val="00D8307C"/>
    <w:rsid w:val="00D83177"/>
    <w:rsid w:val="00D90224"/>
    <w:rsid w:val="00D9448B"/>
    <w:rsid w:val="00D94768"/>
    <w:rsid w:val="00DA1E9B"/>
    <w:rsid w:val="00DA5386"/>
    <w:rsid w:val="00DB10A4"/>
    <w:rsid w:val="00DB73B5"/>
    <w:rsid w:val="00DB7427"/>
    <w:rsid w:val="00DC05D8"/>
    <w:rsid w:val="00DC7CB0"/>
    <w:rsid w:val="00DD20C8"/>
    <w:rsid w:val="00DD77F2"/>
    <w:rsid w:val="00DE0D19"/>
    <w:rsid w:val="00DE1767"/>
    <w:rsid w:val="00DE1C47"/>
    <w:rsid w:val="00DE3EDC"/>
    <w:rsid w:val="00DE4ACC"/>
    <w:rsid w:val="00DE6598"/>
    <w:rsid w:val="00DF2D89"/>
    <w:rsid w:val="00E03D4F"/>
    <w:rsid w:val="00E04C2E"/>
    <w:rsid w:val="00E06FF4"/>
    <w:rsid w:val="00E13A55"/>
    <w:rsid w:val="00E16AC1"/>
    <w:rsid w:val="00E20AD7"/>
    <w:rsid w:val="00E35069"/>
    <w:rsid w:val="00E529A2"/>
    <w:rsid w:val="00E679C4"/>
    <w:rsid w:val="00E67CA4"/>
    <w:rsid w:val="00E72CD4"/>
    <w:rsid w:val="00E744CB"/>
    <w:rsid w:val="00E81A12"/>
    <w:rsid w:val="00E86EF7"/>
    <w:rsid w:val="00EA29F2"/>
    <w:rsid w:val="00EA2E65"/>
    <w:rsid w:val="00EA3D27"/>
    <w:rsid w:val="00EA5A42"/>
    <w:rsid w:val="00EB546F"/>
    <w:rsid w:val="00EC2301"/>
    <w:rsid w:val="00ED299A"/>
    <w:rsid w:val="00ED32F4"/>
    <w:rsid w:val="00EE4DEB"/>
    <w:rsid w:val="00F00037"/>
    <w:rsid w:val="00F00831"/>
    <w:rsid w:val="00F01877"/>
    <w:rsid w:val="00F05D66"/>
    <w:rsid w:val="00F07275"/>
    <w:rsid w:val="00F10AE7"/>
    <w:rsid w:val="00F11DB2"/>
    <w:rsid w:val="00F12D5B"/>
    <w:rsid w:val="00F13779"/>
    <w:rsid w:val="00F15F88"/>
    <w:rsid w:val="00F17988"/>
    <w:rsid w:val="00F2025B"/>
    <w:rsid w:val="00F33345"/>
    <w:rsid w:val="00F357BA"/>
    <w:rsid w:val="00F364EF"/>
    <w:rsid w:val="00F3713C"/>
    <w:rsid w:val="00F40989"/>
    <w:rsid w:val="00F40D34"/>
    <w:rsid w:val="00F42490"/>
    <w:rsid w:val="00F43B5D"/>
    <w:rsid w:val="00F47F44"/>
    <w:rsid w:val="00F5634D"/>
    <w:rsid w:val="00F608E8"/>
    <w:rsid w:val="00F64ECF"/>
    <w:rsid w:val="00F72969"/>
    <w:rsid w:val="00F73480"/>
    <w:rsid w:val="00F74260"/>
    <w:rsid w:val="00F747AE"/>
    <w:rsid w:val="00F82DB1"/>
    <w:rsid w:val="00F85FD8"/>
    <w:rsid w:val="00F87A0C"/>
    <w:rsid w:val="00F9333F"/>
    <w:rsid w:val="00F937DF"/>
    <w:rsid w:val="00F96DBB"/>
    <w:rsid w:val="00FB4787"/>
    <w:rsid w:val="00FC4039"/>
    <w:rsid w:val="00FD14DA"/>
    <w:rsid w:val="00FD2DD8"/>
    <w:rsid w:val="00FD32E5"/>
    <w:rsid w:val="00FD33FE"/>
    <w:rsid w:val="00FD6F21"/>
    <w:rsid w:val="00FE301D"/>
    <w:rsid w:val="00FF26F6"/>
    <w:rsid w:val="00FF4040"/>
    <w:rsid w:val="00FF798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D23A6"/>
  <w15:chartTrackingRefBased/>
  <w15:docId w15:val="{CA743835-F480-4896-A62B-44BF1F7D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D7CFF"/>
    <w:pPr>
      <w:widowControl w:val="0"/>
    </w:pPr>
  </w:style>
  <w:style w:type="paragraph" w:styleId="2">
    <w:name w:val="heading 2"/>
    <w:basedOn w:val="a0"/>
    <w:next w:val="a0"/>
    <w:link w:val="20"/>
    <w:uiPriority w:val="9"/>
    <w:unhideWhenUsed/>
    <w:qFormat/>
    <w:rsid w:val="00F00831"/>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4">
    <w:name w:val="List Paragraph"/>
    <w:aliases w:val="01清單段落"/>
    <w:basedOn w:val="a0"/>
    <w:link w:val="a5"/>
    <w:uiPriority w:val="34"/>
    <w:qFormat/>
    <w:rsid w:val="000C193D"/>
    <w:pPr>
      <w:ind w:leftChars="200" w:left="480"/>
    </w:pPr>
    <w:rPr>
      <w:rFonts w:ascii="Calibri" w:eastAsia="新細明體" w:hAnsi="Calibri" w:cs="Times New Roman"/>
    </w:rPr>
  </w:style>
  <w:style w:type="character" w:customStyle="1" w:styleId="a5">
    <w:name w:val="清單段落 字元"/>
    <w:aliases w:val="01清單段落 字元"/>
    <w:link w:val="a4"/>
    <w:uiPriority w:val="34"/>
    <w:locked/>
    <w:rsid w:val="000C193D"/>
    <w:rPr>
      <w:rFonts w:ascii="Calibri" w:eastAsia="新細明體" w:hAnsi="Calibri" w:cs="Times New Roman"/>
    </w:rPr>
  </w:style>
  <w:style w:type="paragraph" w:styleId="a6">
    <w:name w:val="header"/>
    <w:basedOn w:val="a0"/>
    <w:link w:val="a7"/>
    <w:uiPriority w:val="99"/>
    <w:unhideWhenUsed/>
    <w:rsid w:val="00546A13"/>
    <w:pPr>
      <w:tabs>
        <w:tab w:val="center" w:pos="4153"/>
        <w:tab w:val="right" w:pos="8306"/>
      </w:tabs>
      <w:snapToGrid w:val="0"/>
    </w:pPr>
    <w:rPr>
      <w:sz w:val="20"/>
      <w:szCs w:val="20"/>
    </w:rPr>
  </w:style>
  <w:style w:type="character" w:customStyle="1" w:styleId="a7">
    <w:name w:val="頁首 字元"/>
    <w:basedOn w:val="a1"/>
    <w:link w:val="a6"/>
    <w:uiPriority w:val="99"/>
    <w:rsid w:val="00546A13"/>
    <w:rPr>
      <w:sz w:val="20"/>
      <w:szCs w:val="20"/>
    </w:rPr>
  </w:style>
  <w:style w:type="paragraph" w:styleId="a8">
    <w:name w:val="footer"/>
    <w:basedOn w:val="a0"/>
    <w:link w:val="a9"/>
    <w:uiPriority w:val="99"/>
    <w:unhideWhenUsed/>
    <w:rsid w:val="00546A13"/>
    <w:pPr>
      <w:tabs>
        <w:tab w:val="center" w:pos="4153"/>
        <w:tab w:val="right" w:pos="8306"/>
      </w:tabs>
      <w:snapToGrid w:val="0"/>
    </w:pPr>
    <w:rPr>
      <w:sz w:val="20"/>
      <w:szCs w:val="20"/>
    </w:rPr>
  </w:style>
  <w:style w:type="character" w:customStyle="1" w:styleId="a9">
    <w:name w:val="頁尾 字元"/>
    <w:basedOn w:val="a1"/>
    <w:link w:val="a8"/>
    <w:uiPriority w:val="99"/>
    <w:rsid w:val="00546A13"/>
    <w:rPr>
      <w:sz w:val="20"/>
      <w:szCs w:val="20"/>
    </w:rPr>
  </w:style>
  <w:style w:type="character" w:customStyle="1" w:styleId="aa">
    <w:name w:val="一、報告事項 字元"/>
    <w:link w:val="ab"/>
    <w:locked/>
    <w:rsid w:val="00E744CB"/>
    <w:rPr>
      <w:rFonts w:eastAsia="標楷體"/>
      <w:sz w:val="32"/>
      <w:szCs w:val="24"/>
    </w:rPr>
  </w:style>
  <w:style w:type="paragraph" w:customStyle="1" w:styleId="ab">
    <w:name w:val="一、報告事項"/>
    <w:basedOn w:val="a0"/>
    <w:link w:val="aa"/>
    <w:qFormat/>
    <w:rsid w:val="00E744CB"/>
    <w:pPr>
      <w:adjustRightInd w:val="0"/>
      <w:snapToGrid w:val="0"/>
      <w:spacing w:line="440" w:lineRule="exact"/>
      <w:ind w:left="640" w:hangingChars="200" w:hanging="640"/>
    </w:pPr>
    <w:rPr>
      <w:rFonts w:eastAsia="標楷體"/>
      <w:sz w:val="32"/>
      <w:szCs w:val="24"/>
    </w:rPr>
  </w:style>
  <w:style w:type="paragraph" w:customStyle="1" w:styleId="ac">
    <w:name w:val="決定"/>
    <w:basedOn w:val="a0"/>
    <w:link w:val="ad"/>
    <w:qFormat/>
    <w:rsid w:val="00E744CB"/>
    <w:pPr>
      <w:adjustRightInd w:val="0"/>
      <w:snapToGrid w:val="0"/>
      <w:spacing w:line="440" w:lineRule="exact"/>
      <w:ind w:leftChars="166" w:left="1358" w:rightChars="-286" w:right="-686" w:hangingChars="300" w:hanging="960"/>
    </w:pPr>
    <w:rPr>
      <w:rFonts w:ascii="Calibri" w:eastAsia="標楷體" w:hAnsi="Calibri" w:cs="Times New Roman"/>
      <w:kern w:val="0"/>
      <w:sz w:val="32"/>
      <w:szCs w:val="24"/>
      <w:lang w:val="x-none" w:eastAsia="x-none"/>
    </w:rPr>
  </w:style>
  <w:style w:type="character" w:customStyle="1" w:styleId="ad">
    <w:name w:val="決定 字元"/>
    <w:link w:val="ac"/>
    <w:locked/>
    <w:rsid w:val="00E744CB"/>
    <w:rPr>
      <w:rFonts w:ascii="Calibri" w:eastAsia="標楷體" w:hAnsi="Calibri" w:cs="Times New Roman"/>
      <w:kern w:val="0"/>
      <w:sz w:val="32"/>
      <w:szCs w:val="24"/>
      <w:lang w:val="x-none" w:eastAsia="x-none"/>
    </w:rPr>
  </w:style>
  <w:style w:type="paragraph" w:customStyle="1" w:styleId="1">
    <w:name w:val="1.第一段"/>
    <w:basedOn w:val="a"/>
    <w:qFormat/>
    <w:rsid w:val="00F07275"/>
    <w:pPr>
      <w:ind w:left="924" w:hanging="567"/>
    </w:pPr>
  </w:style>
  <w:style w:type="paragraph" w:customStyle="1" w:styleId="10">
    <w:name w:val="1.第二段"/>
    <w:basedOn w:val="a"/>
    <w:qFormat/>
    <w:rsid w:val="00F07275"/>
    <w:pPr>
      <w:numPr>
        <w:numId w:val="0"/>
      </w:numPr>
      <w:ind w:left="924" w:firstLineChars="200" w:firstLine="560"/>
    </w:pPr>
  </w:style>
  <w:style w:type="paragraph" w:customStyle="1" w:styleId="ae">
    <w:name w:val="第一段(二)"/>
    <w:basedOn w:val="a0"/>
    <w:link w:val="af"/>
    <w:qFormat/>
    <w:rsid w:val="00B324E7"/>
    <w:pPr>
      <w:snapToGrid w:val="0"/>
      <w:spacing w:line="380" w:lineRule="exact"/>
      <w:ind w:left="1038" w:firstLineChars="200" w:firstLine="560"/>
      <w:jc w:val="both"/>
    </w:pPr>
    <w:rPr>
      <w:rFonts w:ascii="標楷體" w:eastAsia="標楷體" w:hAnsi="標楷體" w:cs="Times New Roman"/>
      <w:color w:val="000000"/>
      <w:sz w:val="28"/>
      <w:szCs w:val="28"/>
    </w:rPr>
  </w:style>
  <w:style w:type="character" w:customStyle="1" w:styleId="af">
    <w:name w:val="第一段(二) 字元"/>
    <w:basedOn w:val="a1"/>
    <w:link w:val="ae"/>
    <w:rsid w:val="00B324E7"/>
    <w:rPr>
      <w:rFonts w:ascii="標楷體" w:eastAsia="標楷體" w:hAnsi="標楷體" w:cs="Times New Roman"/>
      <w:color w:val="000000"/>
      <w:sz w:val="28"/>
      <w:szCs w:val="28"/>
    </w:rPr>
  </w:style>
  <w:style w:type="paragraph" w:customStyle="1" w:styleId="a">
    <w:name w:val="第一段(一)"/>
    <w:basedOn w:val="a0"/>
    <w:qFormat/>
    <w:rsid w:val="000E6873"/>
    <w:pPr>
      <w:numPr>
        <w:numId w:val="26"/>
      </w:numPr>
      <w:snapToGrid w:val="0"/>
      <w:spacing w:line="380" w:lineRule="exact"/>
      <w:jc w:val="both"/>
    </w:pPr>
    <w:rPr>
      <w:rFonts w:ascii="標楷體" w:eastAsia="標楷體" w:hAnsi="標楷體" w:cs="Times New Roman"/>
      <w:color w:val="000000"/>
      <w:sz w:val="28"/>
      <w:szCs w:val="28"/>
    </w:rPr>
  </w:style>
  <w:style w:type="paragraph" w:customStyle="1" w:styleId="100">
    <w:name w:val="樣式100"/>
    <w:basedOn w:val="ae"/>
    <w:link w:val="1000"/>
    <w:qFormat/>
    <w:rsid w:val="008334E1"/>
    <w:pPr>
      <w:ind w:leftChars="17" w:left="1301" w:hangingChars="450" w:hanging="1260"/>
    </w:pPr>
  </w:style>
  <w:style w:type="character" w:customStyle="1" w:styleId="20">
    <w:name w:val="標題 2 字元"/>
    <w:basedOn w:val="a1"/>
    <w:link w:val="2"/>
    <w:uiPriority w:val="9"/>
    <w:rsid w:val="00F00831"/>
    <w:rPr>
      <w:rFonts w:asciiTheme="majorHAnsi" w:eastAsiaTheme="majorEastAsia" w:hAnsiTheme="majorHAnsi" w:cstheme="majorBidi"/>
      <w:b/>
      <w:bCs/>
      <w:sz w:val="48"/>
      <w:szCs w:val="48"/>
    </w:rPr>
  </w:style>
  <w:style w:type="character" w:customStyle="1" w:styleId="1000">
    <w:name w:val="樣式100 字元"/>
    <w:basedOn w:val="af"/>
    <w:link w:val="100"/>
    <w:rsid w:val="008334E1"/>
    <w:rPr>
      <w:rFonts w:ascii="標楷體" w:eastAsia="標楷體" w:hAnsi="標楷體" w:cs="Times New Roman"/>
      <w:color w:val="000000"/>
      <w:sz w:val="28"/>
      <w:szCs w:val="28"/>
    </w:rPr>
  </w:style>
  <w:style w:type="paragraph" w:styleId="af0">
    <w:name w:val="Date"/>
    <w:basedOn w:val="a0"/>
    <w:next w:val="a0"/>
    <w:link w:val="af1"/>
    <w:uiPriority w:val="99"/>
    <w:semiHidden/>
    <w:unhideWhenUsed/>
    <w:rsid w:val="00BF432F"/>
    <w:pPr>
      <w:jc w:val="right"/>
    </w:pPr>
  </w:style>
  <w:style w:type="character" w:customStyle="1" w:styleId="af1">
    <w:name w:val="日期 字元"/>
    <w:basedOn w:val="a1"/>
    <w:link w:val="af0"/>
    <w:uiPriority w:val="99"/>
    <w:semiHidden/>
    <w:rsid w:val="00BF432F"/>
  </w:style>
  <w:style w:type="paragraph" w:customStyle="1" w:styleId="21">
    <w:name w:val="2.提案人"/>
    <w:basedOn w:val="a0"/>
    <w:qFormat/>
    <w:rsid w:val="00F07275"/>
    <w:pPr>
      <w:snapToGrid w:val="0"/>
      <w:ind w:leftChars="1500" w:left="4776" w:hangingChars="420" w:hanging="1176"/>
      <w:jc w:val="both"/>
    </w:pPr>
    <w:rPr>
      <w:rFonts w:ascii="標楷體" w:eastAsia="標楷體" w:hAnsi="標楷體"/>
      <w:color w:val="000000"/>
      <w:sz w:val="28"/>
      <w:szCs w:val="28"/>
    </w:rPr>
  </w:style>
  <w:style w:type="character" w:styleId="af2">
    <w:name w:val="Placeholder Text"/>
    <w:basedOn w:val="a1"/>
    <w:uiPriority w:val="99"/>
    <w:semiHidden/>
    <w:rsid w:val="00681A71"/>
    <w:rPr>
      <w:color w:val="808080"/>
    </w:rPr>
  </w:style>
  <w:style w:type="paragraph" w:styleId="af3">
    <w:name w:val="Balloon Text"/>
    <w:basedOn w:val="a0"/>
    <w:link w:val="af4"/>
    <w:uiPriority w:val="99"/>
    <w:semiHidden/>
    <w:unhideWhenUsed/>
    <w:rsid w:val="00865F65"/>
    <w:rPr>
      <w:rFonts w:asciiTheme="majorHAnsi" w:eastAsiaTheme="majorEastAsia" w:hAnsiTheme="majorHAnsi" w:cstheme="majorBidi"/>
      <w:sz w:val="18"/>
      <w:szCs w:val="18"/>
    </w:rPr>
  </w:style>
  <w:style w:type="character" w:customStyle="1" w:styleId="af4">
    <w:name w:val="註解方塊文字 字元"/>
    <w:basedOn w:val="a1"/>
    <w:link w:val="af3"/>
    <w:uiPriority w:val="99"/>
    <w:semiHidden/>
    <w:rsid w:val="00865F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D066E-6BAD-4FB1-9203-6B843BFC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0</TotalTime>
  <Pages>77</Pages>
  <Words>9987</Words>
  <Characters>56929</Characters>
  <Application>Microsoft Office Word</Application>
  <DocSecurity>0</DocSecurity>
  <Lines>474</Lines>
  <Paragraphs>133</Paragraphs>
  <ScaleCrop>false</ScaleCrop>
  <Company/>
  <LinksUpToDate>false</LinksUpToDate>
  <CharactersWithSpaces>66783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Windows 使用者</cp:lastModifiedBy>
  <cp:revision>2</cp:revision>
  <cp:lastPrinted>2026-05-22T10:48:00Z</cp:lastPrinted>
  <dcterms:created xsi:type="dcterms:W3CDTF">2026-05-22T10:48:00Z</dcterms:created>
  <dcterms:modified xsi:type="dcterms:W3CDTF">2026-05-22T10:48:00Z</dcterms:modified>
</cp:coreProperties>
</file>